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48C28" w14:textId="58DF90BC" w:rsidR="000019ED" w:rsidRDefault="000019ED" w:rsidP="000019ED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 wp14:anchorId="3A11133F" wp14:editId="176A021B">
            <wp:extent cx="1543050" cy="1285875"/>
            <wp:effectExtent l="0" t="0" r="0" b="9525"/>
            <wp:docPr id="1" name="Picture 1" descr="cid:image001.jpg@01D6C700.225C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6C700.225C25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9496" w14:textId="14A12E93" w:rsidR="00DD4471" w:rsidRDefault="00B231B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proofErr w:type="spellStart"/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Oireachtas</w:t>
      </w:r>
      <w:proofErr w:type="spellEnd"/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Join</w:t>
      </w:r>
      <w:r w:rsid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t</w:t>
      </w: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Committee</w:t>
      </w:r>
      <w:r w:rsidR="004F2A2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="004F2A29" w:rsidRPr="004F2A29">
        <w:rPr>
          <w:rFonts w:asciiTheme="majorHAnsi" w:eastAsiaTheme="majorEastAsia" w:hAnsiTheme="majorHAnsi" w:cstheme="majorBidi"/>
          <w:b/>
          <w:bCs/>
          <w:sz w:val="32"/>
          <w:szCs w:val="32"/>
        </w:rPr>
        <w:t>Education, Further and Higher Education, Research, Innovation</w:t>
      </w:r>
      <w:r w:rsidR="00DD4471">
        <w:rPr>
          <w:rFonts w:asciiTheme="majorHAnsi" w:eastAsiaTheme="majorEastAsia" w:hAnsiTheme="majorHAnsi" w:cstheme="majorBidi"/>
          <w:b/>
          <w:bCs/>
          <w:sz w:val="32"/>
          <w:szCs w:val="32"/>
        </w:rPr>
        <w:t>,</w:t>
      </w:r>
      <w:r w:rsidR="004F2A29" w:rsidRPr="004F2A2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="00DD4471">
        <w:rPr>
          <w:rFonts w:asciiTheme="majorHAnsi" w:eastAsiaTheme="majorEastAsia" w:hAnsiTheme="majorHAnsi" w:cstheme="majorBidi"/>
          <w:b/>
          <w:bCs/>
          <w:sz w:val="32"/>
          <w:szCs w:val="32"/>
        </w:rPr>
        <w:t>&amp;</w:t>
      </w:r>
      <w:r w:rsidR="004F2A29" w:rsidRPr="004F2A2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Science</w:t>
      </w: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</w:p>
    <w:p w14:paraId="2B1DC4D5" w14:textId="77777777" w:rsidR="00DD4471" w:rsidRDefault="00DD4471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631611C6" w14:textId="77777777" w:rsidR="00416356" w:rsidRDefault="00B231B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T</w:t>
      </w:r>
      <w:r w:rsidR="00DD4471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echnological </w:t>
      </w: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H</w:t>
      </w:r>
      <w:r w:rsidR="00DD4471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igher </w:t>
      </w: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E</w:t>
      </w:r>
      <w:r w:rsidR="00DD4471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ducation </w:t>
      </w: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A</w:t>
      </w:r>
      <w:r w:rsidR="00DD4471">
        <w:rPr>
          <w:rFonts w:asciiTheme="majorHAnsi" w:eastAsiaTheme="majorEastAsia" w:hAnsiTheme="majorHAnsi" w:cstheme="majorBidi"/>
          <w:b/>
          <w:bCs/>
          <w:sz w:val="32"/>
          <w:szCs w:val="32"/>
        </w:rPr>
        <w:t>ssociation</w:t>
      </w:r>
    </w:p>
    <w:p w14:paraId="0CEC4EE6" w14:textId="77777777" w:rsidR="00416356" w:rsidRDefault="0041635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594166B2" w14:textId="10043830" w:rsidR="00B231B6" w:rsidRDefault="00B231B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>Submission Dec</w:t>
      </w:r>
      <w:r w:rsidR="00E73C33">
        <w:rPr>
          <w:rFonts w:asciiTheme="majorHAnsi" w:eastAsiaTheme="majorEastAsia" w:hAnsiTheme="majorHAnsi" w:cstheme="majorBidi"/>
          <w:b/>
          <w:bCs/>
          <w:sz w:val="32"/>
          <w:szCs w:val="32"/>
        </w:rPr>
        <w:t>ember</w:t>
      </w:r>
      <w:r w:rsidRPr="00AA5EC9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2020</w:t>
      </w:r>
    </w:p>
    <w:p w14:paraId="34A85F0B" w14:textId="0B5776F6" w:rsidR="009039B9" w:rsidRDefault="009039B9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357B688D" w14:textId="0A183048" w:rsidR="00B17E56" w:rsidRPr="00CA5381" w:rsidRDefault="00B17E56">
      <w:pPr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</w:pPr>
      <w:r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>Speaking Draft</w:t>
      </w:r>
    </w:p>
    <w:p w14:paraId="5D00F2CD" w14:textId="60A20C45" w:rsidR="00B17E56" w:rsidRPr="00CA5381" w:rsidRDefault="00B17E56">
      <w:pPr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</w:pPr>
      <w:r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>With supporting paper and Appendix</w:t>
      </w:r>
    </w:p>
    <w:p w14:paraId="43BDA781" w14:textId="74EA38C5" w:rsidR="00FD1D04" w:rsidRPr="00CA5381" w:rsidRDefault="00FD1D04">
      <w:pPr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</w:pPr>
      <w:r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 xml:space="preserve">Title </w:t>
      </w:r>
      <w:r w:rsidR="00D36D8D"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 xml:space="preserve">as </w:t>
      </w:r>
      <w:r w:rsidR="00876713"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>provided</w:t>
      </w:r>
      <w:r w:rsidR="00D36D8D"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 xml:space="preserve"> by the JCE</w:t>
      </w:r>
      <w:r w:rsidR="00FA745D" w:rsidRPr="00CA5381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</w:rPr>
        <w:t>FHERIS</w:t>
      </w:r>
    </w:p>
    <w:p w14:paraId="53969F6E" w14:textId="2B84D9D9" w:rsidR="00FB4540" w:rsidRDefault="00FB4540">
      <w:pPr>
        <w:rPr>
          <w:i/>
          <w:iCs/>
        </w:rPr>
      </w:pPr>
      <w:r w:rsidRPr="000E50CB">
        <w:rPr>
          <w:i/>
          <w:iCs/>
        </w:rPr>
        <w:t>‘</w:t>
      </w:r>
      <w:bookmarkStart w:id="0" w:name="_Hlk57053325"/>
      <w:bookmarkStart w:id="1" w:name="_Hlk57131624"/>
      <w:r w:rsidRPr="000E50CB">
        <w:rPr>
          <w:i/>
          <w:iCs/>
        </w:rPr>
        <w:t xml:space="preserve">The effects of </w:t>
      </w:r>
      <w:proofErr w:type="spellStart"/>
      <w:r w:rsidRPr="000E50CB">
        <w:rPr>
          <w:i/>
          <w:iCs/>
        </w:rPr>
        <w:t>Covid</w:t>
      </w:r>
      <w:proofErr w:type="spellEnd"/>
      <w:r w:rsidRPr="000E50CB">
        <w:rPr>
          <w:i/>
          <w:iCs/>
        </w:rPr>
        <w:t xml:space="preserve"> 19 on Higher Education Institutions, and specifically, (a) admissions and reopening of Institutes of Technology and Technological Universities/delivery of courses; (b) funding and (c) future reforms’</w:t>
      </w:r>
      <w:bookmarkEnd w:id="0"/>
      <w:r w:rsidRPr="000E50CB">
        <w:rPr>
          <w:i/>
          <w:iCs/>
        </w:rPr>
        <w:t>.</w:t>
      </w:r>
    </w:p>
    <w:p w14:paraId="22A611A8" w14:textId="7310C098" w:rsidR="00E97BEB" w:rsidRDefault="00E97BEB">
      <w:pPr>
        <w:rPr>
          <w:i/>
          <w:iCs/>
        </w:rPr>
      </w:pPr>
    </w:p>
    <w:p w14:paraId="64B973B7" w14:textId="3BFE18DE" w:rsidR="00E97BEB" w:rsidRDefault="00E97BEB">
      <w:pPr>
        <w:rPr>
          <w:i/>
          <w:iCs/>
        </w:rPr>
      </w:pPr>
      <w:r>
        <w:rPr>
          <w:i/>
          <w:iCs/>
        </w:rPr>
        <w:t>Meeting date: 03 December 2020</w:t>
      </w:r>
    </w:p>
    <w:p w14:paraId="1E0CCB40" w14:textId="77777777" w:rsidR="004077B1" w:rsidRDefault="004077B1">
      <w:pPr>
        <w:rPr>
          <w:i/>
          <w:iCs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323"/>
      </w:tblGrid>
      <w:tr w:rsidR="00573D81" w14:paraId="285416FD" w14:textId="77777777" w:rsidTr="00573D8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862E" w14:textId="77777777" w:rsidR="00573D81" w:rsidRDefault="00573D81">
            <w:r>
              <w:t xml:space="preserve">Prof Vincent </w:t>
            </w:r>
            <w:proofErr w:type="spellStart"/>
            <w:r>
              <w:t>Cunnane</w:t>
            </w:r>
            <w:proofErr w:type="spellEnd"/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5553" w14:textId="77777777" w:rsidR="00573D81" w:rsidRDefault="00573D81">
            <w:r>
              <w:t>President LIT &amp; Chair of THEA</w:t>
            </w:r>
          </w:p>
        </w:tc>
      </w:tr>
      <w:tr w:rsidR="00573D81" w14:paraId="482ADC6C" w14:textId="77777777" w:rsidTr="00573D8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A67A" w14:textId="77777777" w:rsidR="00573D81" w:rsidRDefault="00573D81">
            <w:r>
              <w:t xml:space="preserve">Dr Patricia </w:t>
            </w:r>
            <w:proofErr w:type="spellStart"/>
            <w:r>
              <w:t>Mulcahy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6380" w14:textId="77777777" w:rsidR="00573D81" w:rsidRDefault="00573D81">
            <w:r>
              <w:t>President of IT Carlow &amp; Deputy Chair of THEA</w:t>
            </w:r>
          </w:p>
        </w:tc>
      </w:tr>
      <w:tr w:rsidR="00573D81" w14:paraId="5E4B31CF" w14:textId="77777777" w:rsidTr="00573D8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FA8B" w14:textId="77777777" w:rsidR="00573D81" w:rsidRDefault="00573D81">
            <w:r>
              <w:t>Mr Paul Hannigan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8222" w14:textId="77777777" w:rsidR="00573D81" w:rsidRDefault="00573D81">
            <w:r>
              <w:t xml:space="preserve">President of </w:t>
            </w:r>
            <w:proofErr w:type="spellStart"/>
            <w:r>
              <w:t>LyIT</w:t>
            </w:r>
            <w:proofErr w:type="spellEnd"/>
          </w:p>
        </w:tc>
      </w:tr>
      <w:tr w:rsidR="00573D81" w14:paraId="17E9DFC4" w14:textId="77777777" w:rsidTr="00573D8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BBC7" w14:textId="77777777" w:rsidR="00573D81" w:rsidRDefault="00573D81">
            <w:r>
              <w:t>Dr Joseph Ryan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7226" w14:textId="77777777" w:rsidR="00573D81" w:rsidRDefault="00573D81">
            <w:r>
              <w:t>CEO THEA</w:t>
            </w:r>
          </w:p>
        </w:tc>
      </w:tr>
    </w:tbl>
    <w:p w14:paraId="15D0C44D" w14:textId="77777777" w:rsidR="00E97BEB" w:rsidRPr="000E50CB" w:rsidRDefault="00E97BEB">
      <w:pPr>
        <w:rPr>
          <w:i/>
          <w:iCs/>
        </w:rPr>
      </w:pPr>
    </w:p>
    <w:bookmarkEnd w:id="1"/>
    <w:p w14:paraId="44EB9FEC" w14:textId="77777777" w:rsidR="009000DE" w:rsidRDefault="00FB4540" w:rsidP="009000DE">
      <w:pPr>
        <w:pStyle w:val="Heading1"/>
      </w:pPr>
      <w:r w:rsidRPr="000E50CB">
        <w:lastRenderedPageBreak/>
        <w:t>Introduction</w:t>
      </w:r>
    </w:p>
    <w:p w14:paraId="39F342A2" w14:textId="2E9AECCC" w:rsidR="005D6AFF" w:rsidRPr="009000DE" w:rsidRDefault="00FB4540" w:rsidP="009000DE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Chairman, members of the Joint Committee, </w:t>
      </w:r>
      <w:r w:rsidR="00323CF2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 </w:t>
      </w:r>
      <w:r w:rsidR="005D6AFF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>appreciate</w:t>
      </w:r>
      <w:r w:rsidR="00323CF2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this opportunity to engage on </w:t>
      </w:r>
      <w:r w:rsidR="00DB43A5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>the effects of Covid</w:t>
      </w:r>
      <w:r w:rsidR="005D6AFF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>-</w:t>
      </w:r>
      <w:r w:rsidR="00DB43A5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19 and </w:t>
      </w:r>
      <w:r w:rsidR="00BA0A1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our </w:t>
      </w:r>
      <w:r w:rsidR="00850E06">
        <w:rPr>
          <w:rFonts w:asciiTheme="minorHAnsi" w:eastAsiaTheme="minorHAnsi" w:hAnsiTheme="minorHAnsi" w:cstheme="minorBidi"/>
          <w:color w:val="auto"/>
          <w:sz w:val="22"/>
          <w:szCs w:val="22"/>
        </w:rPr>
        <w:t>future trajectory</w:t>
      </w:r>
      <w:r w:rsidR="005D6AFF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 </w:t>
      </w:r>
      <w:r w:rsidR="004D717E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 </w:t>
      </w:r>
      <w:r w:rsidR="005E06D0">
        <w:rPr>
          <w:rFonts w:asciiTheme="minorHAnsi" w:eastAsiaTheme="minorHAnsi" w:hAnsiTheme="minorHAnsi" w:cstheme="minorBidi"/>
          <w:color w:val="auto"/>
          <w:sz w:val="22"/>
          <w:szCs w:val="22"/>
        </w:rPr>
        <w:t>represent</w:t>
      </w:r>
      <w:r w:rsidR="004D717E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sector key to broadening access and one </w:t>
      </w:r>
      <w:r w:rsidR="002E2468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r w:rsidR="00C76E41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proud record for </w:t>
      </w:r>
      <w:r w:rsidR="000B6FC2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addressing disadvantage.  </w:t>
      </w:r>
    </w:p>
    <w:p w14:paraId="3E16DA4A" w14:textId="6853EBE1" w:rsidR="004C395E" w:rsidRDefault="001021A8" w:rsidP="004C395E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E50CB">
        <w:t xml:space="preserve">The </w:t>
      </w:r>
      <w:r w:rsidR="00F9332F" w:rsidRPr="000E50CB">
        <w:t>Academic</w:t>
      </w:r>
      <w:r w:rsidRPr="000E50CB">
        <w:t xml:space="preserve"> Context</w:t>
      </w:r>
      <w:r w:rsidR="001C3D3D">
        <w:t xml:space="preserve">: </w:t>
      </w:r>
      <w:r w:rsidR="002E315F" w:rsidRPr="000E50CB">
        <w:t xml:space="preserve">Admissions </w:t>
      </w:r>
      <w:r w:rsidR="002E315F">
        <w:t xml:space="preserve">&amp; the </w:t>
      </w:r>
      <w:r w:rsidR="00C050DE" w:rsidRPr="000E50CB">
        <w:t xml:space="preserve">Reopening of Institutes of Technology </w:t>
      </w:r>
      <w:r w:rsidR="00C050DE" w:rsidRPr="000E50CB">
        <w:br/>
      </w:r>
      <w:r w:rsidR="00583234">
        <w:rPr>
          <w:rFonts w:asciiTheme="minorHAnsi" w:eastAsiaTheme="minorHAnsi" w:hAnsiTheme="minorHAnsi" w:cstheme="minorBidi"/>
          <w:color w:val="auto"/>
          <w:sz w:val="22"/>
          <w:szCs w:val="22"/>
        </w:rPr>
        <w:t>T</w:t>
      </w:r>
      <w:r w:rsidR="00F74DFE" w:rsidRPr="002E315F">
        <w:rPr>
          <w:rFonts w:asciiTheme="minorHAnsi" w:eastAsiaTheme="minorHAnsi" w:hAnsiTheme="minorHAnsi" w:cstheme="minorBidi"/>
          <w:color w:val="auto"/>
          <w:sz w:val="22"/>
          <w:szCs w:val="22"/>
        </w:rPr>
        <w:t>he higher education system went underground from March but not to hibernate</w:t>
      </w:r>
      <w:r w:rsidR="004969E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; </w:t>
      </w:r>
      <w:r w:rsidR="00F74DFE" w:rsidRPr="002E315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 successfully </w:t>
      </w:r>
      <w:r w:rsidR="001638BE">
        <w:rPr>
          <w:rFonts w:asciiTheme="minorHAnsi" w:eastAsiaTheme="minorHAnsi" w:hAnsiTheme="minorHAnsi" w:cstheme="minorBidi"/>
          <w:color w:val="auto"/>
          <w:sz w:val="22"/>
          <w:szCs w:val="22"/>
        </w:rPr>
        <w:t>complet</w:t>
      </w:r>
      <w:r w:rsidR="00F74DFE" w:rsidRPr="002E315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ed </w:t>
      </w:r>
      <w:r w:rsidR="001937BE">
        <w:rPr>
          <w:rFonts w:asciiTheme="minorHAnsi" w:eastAsiaTheme="minorHAnsi" w:hAnsiTheme="minorHAnsi" w:cstheme="minorBidi"/>
          <w:color w:val="auto"/>
          <w:sz w:val="22"/>
          <w:szCs w:val="22"/>
        </w:rPr>
        <w:t>our</w:t>
      </w:r>
      <w:r w:rsidR="00F74DFE" w:rsidRPr="002E315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programmes.  The response from students was positive and we acknowledge the flexibility and innovation of staff in ensuring that the learning outcomes were delivered and assessed.</w:t>
      </w:r>
      <w:r w:rsidR="00F74DFE" w:rsidRPr="009000D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10994CB3" w14:textId="4FBE6A35" w:rsidR="00D71742" w:rsidRDefault="00943409" w:rsidP="00D717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C395E">
        <w:rPr>
          <w:rFonts w:asciiTheme="minorHAnsi" w:eastAsiaTheme="minorHAnsi" w:hAnsiTheme="minorHAnsi" w:cstheme="minorBidi"/>
          <w:color w:val="auto"/>
          <w:sz w:val="22"/>
          <w:szCs w:val="22"/>
        </w:rPr>
        <w:t>An evaluation of these measures</w:t>
      </w:r>
      <w:r w:rsidR="00D3508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4C395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by </w:t>
      </w:r>
      <w:r w:rsidR="00491824">
        <w:rPr>
          <w:rFonts w:asciiTheme="minorHAnsi" w:eastAsiaTheme="minorHAnsi" w:hAnsiTheme="minorHAnsi" w:cstheme="minorBidi"/>
          <w:color w:val="auto"/>
          <w:sz w:val="22"/>
          <w:szCs w:val="22"/>
        </w:rPr>
        <w:t>QQI</w:t>
      </w:r>
      <w:r w:rsidRPr="004C395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concluded that they were successful in maintaining academic </w:t>
      </w:r>
      <w:r w:rsidR="00D71742">
        <w:rPr>
          <w:rFonts w:asciiTheme="minorHAnsi" w:eastAsiaTheme="minorHAnsi" w:hAnsiTheme="minorHAnsi" w:cstheme="minorBidi"/>
          <w:color w:val="auto"/>
          <w:sz w:val="22"/>
          <w:szCs w:val="22"/>
        </w:rPr>
        <w:t>standards</w:t>
      </w:r>
      <w:r w:rsidRPr="004C395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 unprecedented circumstances</w:t>
      </w:r>
      <w:r w:rsidR="00AB3AE7" w:rsidRPr="004C395E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="00CD0F19">
        <w:rPr>
          <w:rStyle w:val="FootnoteReference"/>
          <w:rFonts w:asciiTheme="minorHAnsi" w:eastAsiaTheme="minorHAnsi" w:hAnsiTheme="minorHAnsi" w:cstheme="minorBidi"/>
          <w:color w:val="auto"/>
          <w:sz w:val="22"/>
          <w:szCs w:val="22"/>
        </w:rPr>
        <w:footnoteReference w:id="1"/>
      </w:r>
      <w:r w:rsidR="00D717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</w:t>
      </w:r>
    </w:p>
    <w:p w14:paraId="026A7D92" w14:textId="04AD5340" w:rsidR="004070E2" w:rsidRDefault="00EE453D" w:rsidP="00C027F3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>A worry was that the crisis would exacerbate inequality</w:t>
      </w:r>
      <w:r w:rsidR="000B4C4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; </w:t>
      </w:r>
      <w:r w:rsidR="000B4C46"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>the challenges of ensuring a reasonable measure of equity and support</w:t>
      </w:r>
      <w:r w:rsidR="0085743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for</w:t>
      </w:r>
      <w:r w:rsidR="000B4C46"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vulnerable learners were significant.  </w:t>
      </w:r>
      <w:r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There were concerns around access to devices and adequate broadband</w:t>
      </w:r>
      <w:r w:rsidR="00641664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ED7D12"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>and</w:t>
      </w:r>
      <w:r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mitigating educational dis</w:t>
      </w:r>
      <w:r w:rsidR="001F36B3">
        <w:rPr>
          <w:rFonts w:asciiTheme="minorHAnsi" w:eastAsiaTheme="minorHAnsi" w:hAnsiTheme="minorHAnsi" w:cstheme="minorBidi"/>
          <w:color w:val="auto"/>
          <w:sz w:val="22"/>
          <w:szCs w:val="22"/>
        </w:rPr>
        <w:t>advantage emerged as a principal</w:t>
      </w:r>
      <w:r w:rsidRPr="00D717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theme. </w:t>
      </w:r>
    </w:p>
    <w:p w14:paraId="0C67F231" w14:textId="4B7FD618" w:rsidR="0056055A" w:rsidRDefault="00A162D7" w:rsidP="00E66F55">
      <w:pPr>
        <w:pStyle w:val="Heading1"/>
      </w:pPr>
      <w:r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Through</w:t>
      </w:r>
      <w:r w:rsidR="00EE5489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r w:rsidR="001301F4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cohesive </w:t>
      </w:r>
      <w:r w:rsidR="009503CD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transitions’</w:t>
      </w:r>
      <w:r w:rsidR="001301F4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subgroup</w:t>
      </w:r>
      <w:r w:rsidR="001301F4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THEA made its </w:t>
      </w:r>
      <w:r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contribution</w:t>
      </w:r>
      <w:r w:rsidR="001301F4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r w:rsidR="00923E96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ensuring that the </w:t>
      </w:r>
      <w:r w:rsidR="00D114C9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ambitions</w:t>
      </w:r>
      <w:r w:rsidR="00923E96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applicants were met</w:t>
      </w:r>
      <w:r w:rsidR="006D4255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107D0">
        <w:rPr>
          <w:rFonts w:asciiTheme="minorHAnsi" w:eastAsiaTheme="minorHAnsi" w:hAnsiTheme="minorHAnsi" w:cstheme="minorBidi"/>
          <w:color w:val="auto"/>
          <w:sz w:val="22"/>
          <w:szCs w:val="22"/>
        </w:rPr>
        <w:t>through</w:t>
      </w:r>
      <w:r w:rsidR="006D4255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</w:t>
      </w:r>
      <w:r w:rsidR="0006249C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Leaving Certificate </w:t>
      </w:r>
      <w:r w:rsidR="006D4255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calculated grades </w:t>
      </w:r>
      <w:r w:rsidR="0006249C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approach</w:t>
      </w:r>
      <w:r w:rsidR="00923E96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 </w:t>
      </w:r>
      <w:r w:rsidR="00DB27BE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T</w:t>
      </w:r>
      <w:r w:rsidR="00870D78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his in</w:t>
      </w:r>
      <w:r w:rsidR="00A05C49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cluded</w:t>
      </w:r>
      <w:r w:rsidR="00870D78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provision of </w:t>
      </w:r>
      <w:r w:rsidR="00D114C9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additional places on high demand programmes.  </w:t>
      </w:r>
      <w:r w:rsidR="00923E96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26CBD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CAO </w:t>
      </w:r>
      <w:r w:rsidR="008B06C8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outcome realized an intake </w:t>
      </w:r>
      <w:r w:rsidR="007D3908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consistent</w:t>
      </w:r>
      <w:r w:rsidR="008B06C8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with recent years and </w:t>
      </w:r>
      <w:r w:rsidR="009C7CA6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="00905235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imilarly</w:t>
      </w:r>
      <w:r w:rsidR="00B12C45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r w:rsidR="000C4C34" w:rsidRPr="004070E2">
        <w:rPr>
          <w:rFonts w:asciiTheme="minorHAnsi" w:eastAsiaTheme="minorHAnsi" w:hAnsiTheme="minorHAnsi" w:cstheme="minorBidi"/>
          <w:color w:val="auto"/>
          <w:sz w:val="22"/>
          <w:szCs w:val="22"/>
        </w:rPr>
        <w:t>the early indications from this year’s Student Record System suggest that retention has not been disproportionately impacted.</w:t>
      </w:r>
      <w:r w:rsidR="000C4C34" w:rsidRPr="000E50CB">
        <w:t xml:space="preserve">  </w:t>
      </w:r>
    </w:p>
    <w:p w14:paraId="01A429F8" w14:textId="10A5BD44" w:rsidR="00E06355" w:rsidRPr="0056055A" w:rsidRDefault="00D45B3B" w:rsidP="00E66F55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We </w:t>
      </w:r>
      <w:r w:rsidR="00DE09F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are </w:t>
      </w:r>
      <w:r w:rsidR="004A1F43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currently </w:t>
      </w:r>
      <w:r w:rsidR="00DE09F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working </w:t>
      </w:r>
      <w:r w:rsidR="00592E7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collaboratively </w:t>
      </w:r>
      <w:r w:rsidR="00DE09F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to facilitate the phasing in of increasing in-person activity</w:t>
      </w:r>
      <w:r w:rsidR="00872699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in </w:t>
      </w:r>
      <w:r w:rsidR="00D25FB6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Semester </w:t>
      </w:r>
      <w:r w:rsidR="00872699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2</w:t>
      </w:r>
      <w:r w:rsidR="00DE09F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  <w:r w:rsidR="00042A4C">
        <w:rPr>
          <w:rStyle w:val="FootnoteReference"/>
          <w:rFonts w:asciiTheme="minorHAnsi" w:eastAsiaTheme="minorHAnsi" w:hAnsiTheme="minorHAnsi" w:cstheme="minorHAnsi"/>
          <w:color w:val="auto"/>
          <w:sz w:val="22"/>
          <w:szCs w:val="22"/>
        </w:rPr>
        <w:footnoteReference w:id="2"/>
      </w:r>
      <w:r w:rsidR="00DE09F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 The discretion afforded autonomous institutes is ke</w:t>
      </w:r>
      <w:r w:rsidR="00640B6C">
        <w:rPr>
          <w:rFonts w:asciiTheme="minorHAnsi" w:eastAsiaTheme="minorHAnsi" w:hAnsiTheme="minorHAnsi" w:cstheme="minorHAnsi"/>
          <w:color w:val="auto"/>
          <w:sz w:val="22"/>
          <w:szCs w:val="22"/>
        </w:rPr>
        <w:t>y</w:t>
      </w:r>
      <w:r w:rsidR="00DE09F8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  <w:r w:rsidR="00D50929">
        <w:rPr>
          <w:rStyle w:val="FootnoteReference"/>
          <w:rFonts w:asciiTheme="minorHAnsi" w:eastAsiaTheme="minorHAnsi" w:hAnsiTheme="minorHAnsi" w:cstheme="minorHAnsi"/>
          <w:color w:val="auto"/>
          <w:sz w:val="22"/>
          <w:szCs w:val="22"/>
        </w:rPr>
        <w:footnoteReference w:id="3"/>
      </w:r>
      <w:r w:rsidR="00744AF2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 The nature of our pedagogical approach along with </w:t>
      </w:r>
      <w:r w:rsidR="00375EDD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a </w:t>
      </w:r>
      <w:r w:rsidR="00744AF2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high-proportion of studio and practice-based subjects require</w:t>
      </w:r>
      <w:r w:rsidR="00BE02D6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s</w:t>
      </w:r>
      <w:r w:rsidR="00744AF2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us to maintain a higher level of on</w:t>
      </w:r>
      <w:r w:rsidR="00BE02D6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-</w:t>
      </w:r>
      <w:r w:rsidR="00744AF2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campus learning</w:t>
      </w:r>
      <w:r w:rsidR="00BE02D6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and this is in concord wit</w:t>
      </w:r>
      <w:r w:rsidR="00F86345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h</w:t>
      </w:r>
      <w:r w:rsidR="00BE02D6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the </w:t>
      </w:r>
      <w:r w:rsidR="007133B0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desire of </w:t>
      </w:r>
      <w:r w:rsidR="00B6414F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>learners</w:t>
      </w:r>
      <w:r w:rsidR="00185C40" w:rsidRPr="0056055A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 </w:t>
      </w:r>
    </w:p>
    <w:p w14:paraId="31E01049" w14:textId="0D45CD0D" w:rsidR="00320DC6" w:rsidRPr="000E50CB" w:rsidRDefault="00320DC6" w:rsidP="00320DC6">
      <w:pPr>
        <w:pStyle w:val="Heading1"/>
      </w:pPr>
      <w:r w:rsidRPr="000E50CB">
        <w:t>International students</w:t>
      </w:r>
    </w:p>
    <w:p w14:paraId="7CDDDBEB" w14:textId="5E6E7C87" w:rsidR="00510370" w:rsidRPr="000E50CB" w:rsidRDefault="00510370" w:rsidP="00510370">
      <w:r w:rsidRPr="000E50CB">
        <w:t>Ireland took some considerable trouble to care for international students from the outset of this pandemic.  This enhanced our reputation as a safe</w:t>
      </w:r>
      <w:r w:rsidR="009B3906">
        <w:t xml:space="preserve"> </w:t>
      </w:r>
      <w:r w:rsidRPr="000E50CB">
        <w:t xml:space="preserve">destination for study abroad.  The Joint Committee will wish to be apprised that despite this reputational gain, there is a significant concern over access to medical insurance, the cost of which has increased exponentially following the recent </w:t>
      </w:r>
      <w:r w:rsidRPr="000E50CB">
        <w:lastRenderedPageBreak/>
        <w:t>decision of the Court of Appeal.</w:t>
      </w:r>
      <w:r w:rsidR="00E85C6B">
        <w:rPr>
          <w:rStyle w:val="FootnoteReference"/>
        </w:rPr>
        <w:footnoteReference w:id="4"/>
      </w:r>
      <w:r w:rsidRPr="000E50CB">
        <w:t xml:space="preserve">   We request that the Joint Committee take an interest in this matter</w:t>
      </w:r>
      <w:r w:rsidR="00FB0933">
        <w:t xml:space="preserve"> as</w:t>
      </w:r>
      <w:r w:rsidR="004F5B7F">
        <w:t xml:space="preserve"> </w:t>
      </w:r>
      <w:r w:rsidR="004F5B7F" w:rsidRPr="000E50CB">
        <w:t xml:space="preserve">failure </w:t>
      </w:r>
      <w:r w:rsidRPr="000E50CB">
        <w:t xml:space="preserve">to address </w:t>
      </w:r>
      <w:r w:rsidR="004F5B7F">
        <w:t>it</w:t>
      </w:r>
      <w:r w:rsidRPr="000E50CB">
        <w:t xml:space="preserve"> will undoubtedly impact our ability</w:t>
      </w:r>
      <w:r w:rsidR="00FB5565">
        <w:t xml:space="preserve"> </w:t>
      </w:r>
      <w:r w:rsidRPr="000E50CB">
        <w:t>to maintain Ireland’s place as an attractive destination</w:t>
      </w:r>
      <w:r w:rsidR="00CC4E4F">
        <w:t>.</w:t>
      </w:r>
    </w:p>
    <w:p w14:paraId="6E96C8C2" w14:textId="77777777" w:rsidR="001E6FFD" w:rsidRPr="000E50CB" w:rsidRDefault="001E6FFD" w:rsidP="001E6FFD">
      <w:pPr>
        <w:pStyle w:val="Heading1"/>
      </w:pPr>
      <w:r w:rsidRPr="000E50CB">
        <w:t>Student Life</w:t>
      </w:r>
    </w:p>
    <w:p w14:paraId="15BEFB9E" w14:textId="7C28C99E" w:rsidR="001E6FFD" w:rsidRPr="000E50CB" w:rsidRDefault="00E16BAF" w:rsidP="001E6FFD">
      <w:r>
        <w:t xml:space="preserve">The </w:t>
      </w:r>
      <w:r w:rsidR="001E6FFD" w:rsidRPr="000E50CB">
        <w:t>capacity of students to work in a blended environment over a prolonged period</w:t>
      </w:r>
      <w:r w:rsidR="008E15A8">
        <w:t xml:space="preserve"> </w:t>
      </w:r>
      <w:r w:rsidR="006927B1">
        <w:t>remains in</w:t>
      </w:r>
      <w:bookmarkStart w:id="2" w:name="_GoBack"/>
      <w:bookmarkEnd w:id="2"/>
      <w:r w:rsidR="006927B1">
        <w:t xml:space="preserve"> question</w:t>
      </w:r>
      <w:r w:rsidR="00333AC2">
        <w:t>.</w:t>
      </w:r>
      <w:r w:rsidR="001E6FFD" w:rsidRPr="000E50CB">
        <w:t xml:space="preserve">  </w:t>
      </w:r>
      <w:r w:rsidR="00A63C63">
        <w:t xml:space="preserve">Notwithstanding </w:t>
      </w:r>
      <w:r w:rsidR="00D62A0F">
        <w:t xml:space="preserve">the </w:t>
      </w:r>
      <w:r w:rsidR="00D62A0F" w:rsidRPr="000E50CB">
        <w:t xml:space="preserve">practical </w:t>
      </w:r>
      <w:r w:rsidR="00BB2CA7">
        <w:t>implic</w:t>
      </w:r>
      <w:r w:rsidR="00D62A0F" w:rsidRPr="000E50CB">
        <w:t>ations</w:t>
      </w:r>
      <w:r w:rsidR="00D62A0F">
        <w:t xml:space="preserve"> such as accommodation, </w:t>
      </w:r>
      <w:r w:rsidR="00AE3FE9">
        <w:t>at</w:t>
      </w:r>
      <w:r w:rsidR="001E6FFD" w:rsidRPr="000E50CB">
        <w:t xml:space="preserve"> </w:t>
      </w:r>
      <w:r w:rsidR="00453233">
        <w:t xml:space="preserve">core </w:t>
      </w:r>
      <w:r w:rsidR="00AE3FE9">
        <w:t>were</w:t>
      </w:r>
      <w:r w:rsidR="001E6FFD" w:rsidRPr="000E50CB">
        <w:t xml:space="preserve"> question</w:t>
      </w:r>
      <w:r w:rsidR="00F9350B">
        <w:t>s</w:t>
      </w:r>
      <w:r w:rsidR="001E6FFD" w:rsidRPr="000E50CB">
        <w:t xml:space="preserve"> of increasing isolation and the undeniable reduction of the student experience.  In THEA we have worked to facilitate surrogate opportunities for socialization</w:t>
      </w:r>
      <w:r w:rsidR="00D53D6F">
        <w:t>.</w:t>
      </w:r>
      <w:r w:rsidR="00F33E29">
        <w:rPr>
          <w:rStyle w:val="FootnoteReference"/>
        </w:rPr>
        <w:footnoteReference w:id="5"/>
      </w:r>
      <w:r w:rsidR="001E6FFD" w:rsidRPr="000E50CB">
        <w:t xml:space="preserve"> </w:t>
      </w:r>
    </w:p>
    <w:p w14:paraId="1089C527" w14:textId="3315882F" w:rsidR="00444230" w:rsidRDefault="00444230" w:rsidP="001E6FFD">
      <w:r w:rsidRPr="00444230">
        <w:t xml:space="preserve">The positive mental and physical benefit of participation in sport and activity is </w:t>
      </w:r>
      <w:r w:rsidR="00A900D2">
        <w:t>a contribution to</w:t>
      </w:r>
      <w:r w:rsidRPr="00444230">
        <w:t xml:space="preserve"> health and wellbeing. </w:t>
      </w:r>
      <w:r w:rsidR="003E68E2">
        <w:t xml:space="preserve"> </w:t>
      </w:r>
      <w:r w:rsidR="001246EC">
        <w:t>Our</w:t>
      </w:r>
      <w:r w:rsidRPr="00444230">
        <w:t xml:space="preserve"> institutions have </w:t>
      </w:r>
      <w:r w:rsidR="00985EF7">
        <w:t xml:space="preserve">invested in </w:t>
      </w:r>
      <w:r w:rsidR="003E68E2">
        <w:t>excellent</w:t>
      </w:r>
      <w:r w:rsidRPr="00444230">
        <w:t xml:space="preserve"> sports facilities</w:t>
      </w:r>
      <w:r w:rsidR="00985EF7">
        <w:t xml:space="preserve">, </w:t>
      </w:r>
      <w:r w:rsidRPr="00444230">
        <w:t xml:space="preserve">indoor and outdoor. </w:t>
      </w:r>
      <w:r w:rsidR="00527365">
        <w:t xml:space="preserve"> </w:t>
      </w:r>
      <w:r w:rsidR="00985EF7">
        <w:t>They</w:t>
      </w:r>
      <w:r w:rsidRPr="00444230">
        <w:t xml:space="preserve"> are managed by experienced professional staff whose priority is the safety of their service users. </w:t>
      </w:r>
      <w:r w:rsidR="00527365">
        <w:t xml:space="preserve"> </w:t>
      </w:r>
      <w:r w:rsidR="004844D4">
        <w:t xml:space="preserve">Our advice is that </w:t>
      </w:r>
      <w:r w:rsidR="009C4AD1">
        <w:t xml:space="preserve">we remove </w:t>
      </w:r>
      <w:r w:rsidR="004D6B6A">
        <w:t>anomalies</w:t>
      </w:r>
      <w:r w:rsidR="009C4AD1">
        <w:t xml:space="preserve"> and ensure that </w:t>
      </w:r>
      <w:r w:rsidRPr="00444230">
        <w:t xml:space="preserve">students </w:t>
      </w:r>
      <w:r w:rsidR="009C4AD1">
        <w:t>are</w:t>
      </w:r>
      <w:r w:rsidRPr="00444230">
        <w:t xml:space="preserve"> allowed access to their </w:t>
      </w:r>
      <w:r w:rsidR="00E5552B">
        <w:t xml:space="preserve">controlled </w:t>
      </w:r>
      <w:r w:rsidRPr="00444230">
        <w:t xml:space="preserve">sports facilities </w:t>
      </w:r>
      <w:r w:rsidR="008E7DB3">
        <w:t>and</w:t>
      </w:r>
      <w:r w:rsidRPr="00444230">
        <w:t xml:space="preserve"> offer them </w:t>
      </w:r>
      <w:r w:rsidR="00312E83">
        <w:t xml:space="preserve">safe </w:t>
      </w:r>
      <w:r w:rsidR="000B7935">
        <w:t>occasion for social connection</w:t>
      </w:r>
      <w:r w:rsidRPr="00444230">
        <w:t>.</w:t>
      </w:r>
      <w:r w:rsidR="00491824">
        <w:rPr>
          <w:rStyle w:val="FootnoteReference"/>
        </w:rPr>
        <w:footnoteReference w:id="6"/>
      </w:r>
      <w:r w:rsidRPr="00444230">
        <w:t xml:space="preserve">  </w:t>
      </w:r>
    </w:p>
    <w:p w14:paraId="0A37B9B1" w14:textId="7FD5203F" w:rsidR="00FE65C4" w:rsidRPr="000E50CB" w:rsidRDefault="00642B03" w:rsidP="00FE65C4">
      <w:pPr>
        <w:pStyle w:val="Heading1"/>
      </w:pPr>
      <w:r w:rsidRPr="000E50CB">
        <w:t>Research</w:t>
      </w:r>
    </w:p>
    <w:p w14:paraId="2F59C8B8" w14:textId="30A2FEB6" w:rsidR="001A0EEC" w:rsidRDefault="001A0EEC" w:rsidP="00C24E0F">
      <w:r>
        <w:t xml:space="preserve">The </w:t>
      </w:r>
      <w:r w:rsidR="000B11EB">
        <w:t>initi</w:t>
      </w:r>
      <w:r w:rsidR="004D5847">
        <w:t xml:space="preserve">al </w:t>
      </w:r>
      <w:proofErr w:type="spellStart"/>
      <w:r w:rsidR="004D5847">
        <w:t>Covid</w:t>
      </w:r>
      <w:proofErr w:type="spellEnd"/>
      <w:r>
        <w:t xml:space="preserve"> challenges </w:t>
      </w:r>
      <w:r w:rsidR="004D5847">
        <w:t xml:space="preserve">for </w:t>
      </w:r>
      <w:r w:rsidR="004D5847" w:rsidRPr="004D5847">
        <w:t xml:space="preserve">research and innovation </w:t>
      </w:r>
      <w:r>
        <w:t>relat</w:t>
      </w:r>
      <w:r w:rsidR="00192E92">
        <w:t>ed</w:t>
      </w:r>
      <w:r>
        <w:t xml:space="preserve"> to access to facilities and subjects. </w:t>
      </w:r>
      <w:r w:rsidR="0063523B">
        <w:t xml:space="preserve"> </w:t>
      </w:r>
      <w:r w:rsidR="000B6081">
        <w:t>Looking</w:t>
      </w:r>
      <w:r w:rsidR="00AF01F1">
        <w:t xml:space="preserve"> ahead and c</w:t>
      </w:r>
      <w:r w:rsidR="00560A6D">
        <w:t>onsistent with the strictures of the legislation, w</w:t>
      </w:r>
      <w:r w:rsidR="0063523B">
        <w:t xml:space="preserve">e </w:t>
      </w:r>
      <w:r w:rsidR="002A41D0">
        <w:t xml:space="preserve">are </w:t>
      </w:r>
      <w:r w:rsidR="0063523B">
        <w:t>build</w:t>
      </w:r>
      <w:r w:rsidR="005F1913">
        <w:t>ing</w:t>
      </w:r>
      <w:r w:rsidR="0063523B">
        <w:t xml:space="preserve"> capacity </w:t>
      </w:r>
      <w:r w:rsidR="009912F9">
        <w:t>for</w:t>
      </w:r>
      <w:r w:rsidR="00AF650F">
        <w:t xml:space="preserve"> our technological </w:t>
      </w:r>
      <w:r w:rsidR="00397F5D">
        <w:t>universities</w:t>
      </w:r>
      <w:r>
        <w:t>.</w:t>
      </w:r>
      <w:r w:rsidR="005E568C">
        <w:rPr>
          <w:rStyle w:val="FootnoteReference"/>
        </w:rPr>
        <w:footnoteReference w:id="7"/>
      </w:r>
      <w:r>
        <w:t xml:space="preserve"> </w:t>
      </w:r>
      <w:r w:rsidR="00AF650F">
        <w:t xml:space="preserve"> </w:t>
      </w:r>
      <w:r>
        <w:t>This i</w:t>
      </w:r>
      <w:r w:rsidR="00AF650F">
        <w:t xml:space="preserve">s necessary to deliver on the expectations of </w:t>
      </w:r>
      <w:r w:rsidR="002179D7">
        <w:t xml:space="preserve">exciting new entities to </w:t>
      </w:r>
      <w:r w:rsidR="00C24E0F">
        <w:t xml:space="preserve">meet their obligations as set out in framing </w:t>
      </w:r>
      <w:r w:rsidR="008656FA">
        <w:t xml:space="preserve">national </w:t>
      </w:r>
      <w:r w:rsidR="00C24E0F">
        <w:t>policy</w:t>
      </w:r>
      <w:r w:rsidR="008656FA">
        <w:t>.</w:t>
      </w:r>
      <w:r w:rsidR="008656FA">
        <w:rPr>
          <w:rStyle w:val="FootnoteReference"/>
        </w:rPr>
        <w:footnoteReference w:id="8"/>
      </w:r>
      <w:r w:rsidR="00C24E0F">
        <w:t xml:space="preserve"> </w:t>
      </w:r>
      <w:r w:rsidR="007B069A">
        <w:t xml:space="preserve"> </w:t>
      </w:r>
      <w:r w:rsidR="00667444">
        <w:t xml:space="preserve">It speaks also </w:t>
      </w:r>
      <w:r w:rsidR="00667444" w:rsidRPr="003E3F69">
        <w:t xml:space="preserve">to the </w:t>
      </w:r>
      <w:r w:rsidR="00F556D2" w:rsidRPr="003E3F69">
        <w:t xml:space="preserve">current </w:t>
      </w:r>
      <w:r w:rsidR="009D064E" w:rsidRPr="003E3F69">
        <w:t xml:space="preserve">European focus on </w:t>
      </w:r>
      <w:r w:rsidR="001614C0" w:rsidRPr="003E3F69">
        <w:t>‘</w:t>
      </w:r>
      <w:r w:rsidR="00F556D2" w:rsidRPr="003E3F69">
        <w:t>Distributed</w:t>
      </w:r>
      <w:r w:rsidR="001614C0" w:rsidRPr="003E3F69">
        <w:t xml:space="preserve"> Excellence’.</w:t>
      </w:r>
      <w:r w:rsidR="00F556D2" w:rsidRPr="003E3F69">
        <w:rPr>
          <w:rStyle w:val="FootnoteReference"/>
        </w:rPr>
        <w:footnoteReference w:id="9"/>
      </w:r>
      <w:r w:rsidR="001614C0">
        <w:t xml:space="preserve"> </w:t>
      </w:r>
    </w:p>
    <w:p w14:paraId="52426E2C" w14:textId="1921ECBA" w:rsidR="00FA385F" w:rsidRDefault="003D390F" w:rsidP="00F61C6B">
      <w:r>
        <w:t>The</w:t>
      </w:r>
      <w:r w:rsidR="001760CD" w:rsidRPr="000E50CB">
        <w:t xml:space="preserve"> potential attaching to aligning research largely under a single </w:t>
      </w:r>
      <w:r w:rsidR="001760CD" w:rsidRPr="00A318EF">
        <w:t>department</w:t>
      </w:r>
      <w:r w:rsidR="00C968BD">
        <w:t xml:space="preserve"> </w:t>
      </w:r>
      <w:r w:rsidR="001760CD" w:rsidRPr="00A318EF">
        <w:t>offers opportunity to effect necessary structural change that can be the</w:t>
      </w:r>
      <w:r w:rsidR="001760CD" w:rsidRPr="000E50CB">
        <w:t xml:space="preserve"> prerequisite to releasing the potential inherent in the technological university.</w:t>
      </w:r>
      <w:r w:rsidR="00C968BD">
        <w:rPr>
          <w:rStyle w:val="FootnoteReference"/>
        </w:rPr>
        <w:footnoteReference w:id="10"/>
      </w:r>
      <w:r w:rsidR="001760CD" w:rsidRPr="000E50CB">
        <w:t xml:space="preserve">  We need to move </w:t>
      </w:r>
      <w:r w:rsidR="001760CD" w:rsidRPr="00A318EF">
        <w:t xml:space="preserve">from </w:t>
      </w:r>
      <w:r w:rsidR="001853FE" w:rsidRPr="00A318EF">
        <w:rPr>
          <w:rFonts w:cstheme="minorHAnsi"/>
        </w:rPr>
        <w:t>a</w:t>
      </w:r>
      <w:r w:rsidR="001760CD" w:rsidRPr="00A318EF">
        <w:rPr>
          <w:rFonts w:cstheme="minorHAnsi"/>
        </w:rPr>
        <w:t xml:space="preserve"> workload allocation model which focuses on teaching contact hours and does not incentivise</w:t>
      </w:r>
      <w:r w:rsidR="001760CD" w:rsidRPr="000E50CB">
        <w:rPr>
          <w:rFonts w:cstheme="minorHAnsi"/>
        </w:rPr>
        <w:t xml:space="preserve"> academic staff to engage in </w:t>
      </w:r>
      <w:proofErr w:type="gramStart"/>
      <w:r w:rsidR="001760CD" w:rsidRPr="000E50CB">
        <w:rPr>
          <w:rFonts w:cstheme="minorHAnsi"/>
        </w:rPr>
        <w:t>R&amp;I</w:t>
      </w:r>
      <w:proofErr w:type="gramEnd"/>
      <w:r w:rsidR="001760CD" w:rsidRPr="000E50CB">
        <w:rPr>
          <w:rFonts w:cstheme="minorHAnsi"/>
        </w:rPr>
        <w:t xml:space="preserve">; and from a promotional pathway which provides the opportunity for academic staff to take up only </w:t>
      </w:r>
      <w:r w:rsidR="001760CD" w:rsidRPr="000E50CB">
        <w:t>managerial roles.</w:t>
      </w:r>
      <w:r w:rsidR="003A3698">
        <w:t xml:space="preserve">  In addition, </w:t>
      </w:r>
      <w:r w:rsidR="005523BA">
        <w:t xml:space="preserve">the </w:t>
      </w:r>
      <w:r w:rsidR="00FA385F">
        <w:t xml:space="preserve">financial challenge speaks to the need for a time-limited </w:t>
      </w:r>
      <w:proofErr w:type="gramStart"/>
      <w:r w:rsidR="00FA385F">
        <w:t>R&amp;I</w:t>
      </w:r>
      <w:proofErr w:type="gramEnd"/>
      <w:r w:rsidR="00FA385F">
        <w:t xml:space="preserve"> capacity building </w:t>
      </w:r>
      <w:r w:rsidR="00FA385F">
        <w:lastRenderedPageBreak/>
        <w:t xml:space="preserve">fund to </w:t>
      </w:r>
      <w:r w:rsidR="00D24B9D">
        <w:t>leverage</w:t>
      </w:r>
      <w:r w:rsidR="00FA385F">
        <w:t xml:space="preserve"> the work of </w:t>
      </w:r>
      <w:r w:rsidR="00C14C67">
        <w:t xml:space="preserve">the </w:t>
      </w:r>
      <w:r w:rsidR="00FA385F">
        <w:t xml:space="preserve">TURN </w:t>
      </w:r>
      <w:r w:rsidR="00C14C67">
        <w:t xml:space="preserve">Report </w:t>
      </w:r>
      <w:r w:rsidR="00FA385F">
        <w:t xml:space="preserve">and the </w:t>
      </w:r>
      <w:r w:rsidR="00FA385F" w:rsidRPr="008725C5">
        <w:t>Technological University Transformation Fund</w:t>
      </w:r>
      <w:r w:rsidR="00FA385F">
        <w:t>.</w:t>
      </w:r>
      <w:r w:rsidR="00FA385F">
        <w:rPr>
          <w:rStyle w:val="FootnoteReference"/>
        </w:rPr>
        <w:footnoteReference w:id="11"/>
      </w:r>
      <w:r w:rsidR="00FA385F">
        <w:t xml:space="preserve">  </w:t>
      </w:r>
    </w:p>
    <w:p w14:paraId="7C98BBA1" w14:textId="0FD9ABA1" w:rsidR="00A656E1" w:rsidRPr="000E50CB" w:rsidRDefault="00EA465A" w:rsidP="00A656E1">
      <w:pPr>
        <w:pStyle w:val="Heading1"/>
      </w:pPr>
      <w:r w:rsidRPr="000E50CB">
        <w:t>Funding</w:t>
      </w:r>
      <w:r w:rsidR="008D1A01" w:rsidRPr="000E50CB">
        <w:t xml:space="preserve"> </w:t>
      </w:r>
    </w:p>
    <w:p w14:paraId="6F13EB79" w14:textId="5977598F" w:rsidR="00237D50" w:rsidRPr="000E50CB" w:rsidRDefault="00705F70" w:rsidP="00705F70">
      <w:r>
        <w:t>Transition and c</w:t>
      </w:r>
      <w:r w:rsidR="00BA22C5">
        <w:t xml:space="preserve">apacity building informed our recent </w:t>
      </w:r>
      <w:r w:rsidRPr="000E50CB">
        <w:t>budget submission</w:t>
      </w:r>
      <w:r w:rsidR="00237D50" w:rsidRPr="000E50CB">
        <w:t xml:space="preserve"> and</w:t>
      </w:r>
      <w:r w:rsidR="00B06924">
        <w:t>,</w:t>
      </w:r>
      <w:r w:rsidR="00237D50" w:rsidRPr="000E50CB">
        <w:t xml:space="preserve"> as the expectations of higher education as a driver of economic development become more explicit, the sector needs to be equipped to deliver </w:t>
      </w:r>
      <w:r w:rsidR="008D76C5">
        <w:t>on</w:t>
      </w:r>
      <w:r w:rsidR="00237D50" w:rsidRPr="000E50CB">
        <w:t xml:space="preserve"> this ambition. </w:t>
      </w:r>
      <w:r w:rsidR="00F63FCD">
        <w:t xml:space="preserve"> </w:t>
      </w:r>
      <w:r w:rsidR="00237D50" w:rsidRPr="000E50CB">
        <w:t xml:space="preserve">The investment requested can be categorised under four topical headings, namely </w:t>
      </w:r>
      <w:r w:rsidR="00237D50" w:rsidRPr="00602C9F">
        <w:t xml:space="preserve">Digitalisation and Infrastructure, Human Capital, Research and Innovation, and Climate.  </w:t>
      </w:r>
      <w:r w:rsidR="00C73AE3">
        <w:t xml:space="preserve">The intent is to equip institutions </w:t>
      </w:r>
      <w:r w:rsidR="002461FE">
        <w:t xml:space="preserve">to </w:t>
      </w:r>
      <w:r w:rsidR="00237D50" w:rsidRPr="000E50CB">
        <w:t xml:space="preserve">deliver </w:t>
      </w:r>
      <w:r w:rsidR="00F63FCD">
        <w:t>on</w:t>
      </w:r>
      <w:r w:rsidR="00237D50" w:rsidRPr="000E50CB">
        <w:t xml:space="preserve"> key regional economic growth and greater social inclusion.</w:t>
      </w:r>
    </w:p>
    <w:p w14:paraId="0FC1ED2A" w14:textId="3DE5E46A" w:rsidR="00EA465A" w:rsidRPr="000E50CB" w:rsidRDefault="00EA465A" w:rsidP="00EA465A">
      <w:pPr>
        <w:pStyle w:val="Heading1"/>
      </w:pPr>
      <w:r w:rsidRPr="000E50CB">
        <w:t>Future Reform</w:t>
      </w:r>
    </w:p>
    <w:p w14:paraId="092572A1" w14:textId="2DD5BDF0" w:rsidR="00EA769D" w:rsidRPr="000E50CB" w:rsidRDefault="00EA769D" w:rsidP="00BC6653">
      <w:r w:rsidRPr="000E50CB">
        <w:t xml:space="preserve">We inherit an anachronistic system based on input hours and the goal is to </w:t>
      </w:r>
      <w:r w:rsidR="00DB4252">
        <w:t>work with partners</w:t>
      </w:r>
      <w:r w:rsidR="00E1008E">
        <w:t xml:space="preserve"> </w:t>
      </w:r>
      <w:r w:rsidR="00E45C2F">
        <w:t xml:space="preserve">to </w:t>
      </w:r>
      <w:r w:rsidRPr="000E50CB">
        <w:t xml:space="preserve">arrive at an </w:t>
      </w:r>
      <w:r w:rsidRPr="00F022E0">
        <w:t xml:space="preserve">alternative </w:t>
      </w:r>
      <w:r w:rsidR="001B014D" w:rsidRPr="00F022E0">
        <w:t xml:space="preserve">lecturing contract </w:t>
      </w:r>
      <w:r w:rsidRPr="00F022E0">
        <w:t>that can better reflect the advanced mission of the TU whilst respecting the contributions of committed</w:t>
      </w:r>
      <w:r w:rsidRPr="000E50CB">
        <w:t xml:space="preserve"> staff to teaching, research, and service.  This revised workload model will have to triangulate with a broadened career pathway.  The challenge in this is to realize an agreed approach balanc</w:t>
      </w:r>
      <w:r w:rsidR="000849CA">
        <w:t>ing</w:t>
      </w:r>
      <w:r w:rsidRPr="000E50CB">
        <w:t xml:space="preserve"> professional autonomy with accountability</w:t>
      </w:r>
      <w:r w:rsidR="00B2101F">
        <w:t>.</w:t>
      </w:r>
    </w:p>
    <w:p w14:paraId="7E334A87" w14:textId="477568F0" w:rsidR="004F5ED3" w:rsidRDefault="008972FB" w:rsidP="00BC6653">
      <w:r w:rsidRPr="000E50CB">
        <w:t xml:space="preserve">Minister Harris has set out four pillars of this </w:t>
      </w:r>
      <w:r w:rsidR="00F85EC8" w:rsidRPr="000E50CB">
        <w:t>vision</w:t>
      </w:r>
      <w:r w:rsidRPr="000E50CB">
        <w:t xml:space="preserve"> for the new department</w:t>
      </w:r>
      <w:r w:rsidR="00825CDC">
        <w:t>;</w:t>
      </w:r>
      <w:r w:rsidR="00F13613" w:rsidRPr="000E50CB">
        <w:t xml:space="preserve"> </w:t>
      </w:r>
      <w:r w:rsidR="00825CDC">
        <w:t>t</w:t>
      </w:r>
      <w:r w:rsidR="009F68B6" w:rsidRPr="000E50CB">
        <w:t xml:space="preserve">his all-island dimension triangulates with the Shared Island vision </w:t>
      </w:r>
      <w:r w:rsidR="00D82122" w:rsidRPr="000E50CB">
        <w:t>which is of particular interest to our sector and especially with border institutes in Letterkenny and Dundalk.</w:t>
      </w:r>
      <w:r w:rsidR="006B0A61">
        <w:rPr>
          <w:rStyle w:val="FootnoteReference"/>
        </w:rPr>
        <w:footnoteReference w:id="12"/>
      </w:r>
      <w:r w:rsidR="00D82122" w:rsidRPr="000E50CB">
        <w:t xml:space="preserve">  </w:t>
      </w:r>
      <w:r w:rsidR="00F85EC8" w:rsidRPr="000E50CB">
        <w:t xml:space="preserve"> </w:t>
      </w:r>
    </w:p>
    <w:p w14:paraId="5F181CD3" w14:textId="09D777E4" w:rsidR="00834E6B" w:rsidRDefault="00191A63" w:rsidP="00BC6653">
      <w:r>
        <w:t xml:space="preserve">Finally, chairman, </w:t>
      </w:r>
      <w:r w:rsidR="00C31DAB">
        <w:t>it</w:t>
      </w:r>
      <w:r>
        <w:t xml:space="preserve"> i</w:t>
      </w:r>
      <w:r w:rsidR="005350F5">
        <w:t>s</w:t>
      </w:r>
      <w:r>
        <w:t xml:space="preserve"> </w:t>
      </w:r>
      <w:r w:rsidR="005350F5">
        <w:t>appreciated</w:t>
      </w:r>
      <w:r>
        <w:t xml:space="preserve"> that this committee will </w:t>
      </w:r>
      <w:r w:rsidR="00A95B74">
        <w:t>next year weigh the economic advice from the European Commission on the Cassell</w:t>
      </w:r>
      <w:r w:rsidR="008E2CF7">
        <w:t>s Report.  That significant investment in higher</w:t>
      </w:r>
      <w:r w:rsidR="00347C3D">
        <w:t xml:space="preserve"> education is required is accepted; the question will be on how that </w:t>
      </w:r>
      <w:r w:rsidR="00F905C2">
        <w:t xml:space="preserve">sustainable future </w:t>
      </w:r>
      <w:r w:rsidR="00347C3D">
        <w:t xml:space="preserve">might be fuelled.  </w:t>
      </w:r>
      <w:r w:rsidR="00603B97">
        <w:t>At a time of unpre</w:t>
      </w:r>
      <w:r w:rsidR="00A87F4A">
        <w:t>ce</w:t>
      </w:r>
      <w:r w:rsidR="00603B97">
        <w:t xml:space="preserve">dented change in our </w:t>
      </w:r>
      <w:r w:rsidR="00A87F4A">
        <w:t>sector</w:t>
      </w:r>
      <w:r w:rsidR="00603B97">
        <w:t xml:space="preserve">, </w:t>
      </w:r>
      <w:r w:rsidR="005350F5">
        <w:t xml:space="preserve">we </w:t>
      </w:r>
      <w:r w:rsidR="00603B97">
        <w:t>lo</w:t>
      </w:r>
      <w:r w:rsidR="005350F5">
        <w:t>o</w:t>
      </w:r>
      <w:r w:rsidR="00603B97">
        <w:t xml:space="preserve">k forward to working </w:t>
      </w:r>
      <w:r w:rsidR="005350F5">
        <w:t xml:space="preserve">with you on advancing this agenda.  </w:t>
      </w:r>
    </w:p>
    <w:p w14:paraId="56D49B80" w14:textId="24E4F261" w:rsidR="00886128" w:rsidRPr="000E50CB" w:rsidRDefault="00F85EC8" w:rsidP="00BC6653">
      <w:r w:rsidRPr="000E50CB">
        <w:t xml:space="preserve"> </w:t>
      </w:r>
    </w:p>
    <w:p w14:paraId="03D639A0" w14:textId="77777777" w:rsidR="00C31DAB" w:rsidRDefault="00D966EE">
      <w:r w:rsidRPr="000E50CB">
        <w:t xml:space="preserve"> </w:t>
      </w:r>
    </w:p>
    <w:p w14:paraId="7AF1B17D" w14:textId="77777777" w:rsidR="00D50929" w:rsidRDefault="00D50929" w:rsidP="000B572C">
      <w:pPr>
        <w:jc w:val="center"/>
        <w:rPr>
          <w:b/>
          <w:bCs/>
        </w:rPr>
      </w:pPr>
    </w:p>
    <w:p w14:paraId="3359AFB6" w14:textId="77777777" w:rsidR="00D50929" w:rsidRDefault="00D50929" w:rsidP="000B572C">
      <w:pPr>
        <w:jc w:val="center"/>
        <w:rPr>
          <w:b/>
          <w:bCs/>
        </w:rPr>
      </w:pPr>
    </w:p>
    <w:p w14:paraId="05EDD354" w14:textId="01627EAC" w:rsidR="00D50929" w:rsidRDefault="00D50929" w:rsidP="000B572C">
      <w:pPr>
        <w:jc w:val="center"/>
        <w:rPr>
          <w:b/>
          <w:bCs/>
        </w:rPr>
      </w:pPr>
    </w:p>
    <w:p w14:paraId="3AA248BA" w14:textId="7E87FE39" w:rsidR="0062049C" w:rsidRDefault="0062049C" w:rsidP="000B572C">
      <w:pPr>
        <w:jc w:val="center"/>
        <w:rPr>
          <w:b/>
          <w:bCs/>
        </w:rPr>
      </w:pPr>
    </w:p>
    <w:p w14:paraId="4230C226" w14:textId="63951155" w:rsidR="00F300DB" w:rsidRDefault="00F300DB" w:rsidP="000B572C">
      <w:pPr>
        <w:jc w:val="center"/>
        <w:rPr>
          <w:b/>
          <w:bCs/>
        </w:rPr>
      </w:pPr>
    </w:p>
    <w:p w14:paraId="68C6C870" w14:textId="77777777" w:rsidR="00F300DB" w:rsidRDefault="00F300DB" w:rsidP="000B572C">
      <w:pPr>
        <w:jc w:val="center"/>
        <w:rPr>
          <w:b/>
          <w:bCs/>
        </w:rPr>
      </w:pPr>
    </w:p>
    <w:p w14:paraId="4A90ABAA" w14:textId="77777777" w:rsidR="00C21C50" w:rsidRDefault="00C21C50" w:rsidP="000B572C">
      <w:pPr>
        <w:jc w:val="center"/>
        <w:rPr>
          <w:b/>
          <w:bCs/>
        </w:rPr>
      </w:pPr>
    </w:p>
    <w:p w14:paraId="13B9F825" w14:textId="0AA95F7D" w:rsidR="005C6A80" w:rsidRPr="000E50CB" w:rsidRDefault="005C6A80"/>
    <w:sectPr w:rsidR="005C6A80" w:rsidRPr="000E50C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70E92" w14:textId="77777777" w:rsidR="000F19F2" w:rsidRDefault="000F19F2" w:rsidP="00B231B6">
      <w:pPr>
        <w:spacing w:after="0" w:line="240" w:lineRule="auto"/>
      </w:pPr>
      <w:r>
        <w:separator/>
      </w:r>
    </w:p>
  </w:endnote>
  <w:endnote w:type="continuationSeparator" w:id="0">
    <w:p w14:paraId="27A8853D" w14:textId="77777777" w:rsidR="000F19F2" w:rsidRDefault="000F19F2" w:rsidP="00B2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9572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BB8C4" w14:textId="5D1120FD" w:rsidR="00155FC9" w:rsidRDefault="00155F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27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27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44E313" w14:textId="77777777" w:rsidR="00155FC9" w:rsidRDefault="00155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7C9A" w14:textId="77777777" w:rsidR="000F19F2" w:rsidRDefault="000F19F2" w:rsidP="00B231B6">
      <w:pPr>
        <w:spacing w:after="0" w:line="240" w:lineRule="auto"/>
      </w:pPr>
      <w:r>
        <w:separator/>
      </w:r>
    </w:p>
  </w:footnote>
  <w:footnote w:type="continuationSeparator" w:id="0">
    <w:p w14:paraId="0CB0B250" w14:textId="77777777" w:rsidR="000F19F2" w:rsidRDefault="000F19F2" w:rsidP="00B231B6">
      <w:pPr>
        <w:spacing w:after="0" w:line="240" w:lineRule="auto"/>
      </w:pPr>
      <w:r>
        <w:continuationSeparator/>
      </w:r>
    </w:p>
  </w:footnote>
  <w:footnote w:id="1">
    <w:p w14:paraId="4EFBD7CE" w14:textId="42582B3F" w:rsidR="00CD0F19" w:rsidRPr="00CD0F19" w:rsidRDefault="00CD0F19" w:rsidP="00CD0F19">
      <w:pPr>
        <w:pStyle w:val="FootnoteText"/>
        <w:ind w:left="720" w:hanging="7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anchor="search=The%20impact%20of%20Covid%2019%2A" w:history="1">
        <w:r w:rsidRPr="002E3253">
          <w:rPr>
            <w:rStyle w:val="Hyperlink"/>
            <w:lang w:val="en-US"/>
          </w:rPr>
          <w:t>https://www.qqi.ie/Downloads/The%20Impact%20of%20COVID-19%20Modifications%20to%20Teaching,%20Learning%20and%20Assessment%20in%20Irish%20Further%20Education.pdf#search=The%20impact%20of%20Covid%2019%2A</w:t>
        </w:r>
      </w:hyperlink>
      <w:r w:rsidR="00491824">
        <w:rPr>
          <w:lang w:val="en-US"/>
        </w:rPr>
        <w:t xml:space="preserve">.  QQI is </w:t>
      </w:r>
      <w:r w:rsidR="00491824" w:rsidRPr="00491824">
        <w:rPr>
          <w:lang w:val="en-US"/>
        </w:rPr>
        <w:t>the national quality assurance agency,</w:t>
      </w:r>
    </w:p>
  </w:footnote>
  <w:footnote w:id="2">
    <w:p w14:paraId="38C3E152" w14:textId="2B960B06" w:rsidR="00042A4C" w:rsidRPr="00042A4C" w:rsidRDefault="00042A4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E50CB">
        <w:rPr>
          <w:lang w:val="en-IE"/>
        </w:rPr>
        <w:t xml:space="preserve">The re-opening of Institutes of Technology </w:t>
      </w:r>
      <w:r>
        <w:t xml:space="preserve">was </w:t>
      </w:r>
      <w:r w:rsidRPr="000E50CB">
        <w:rPr>
          <w:lang w:val="en-IE"/>
        </w:rPr>
        <w:t>carefully planned in full compliance with public health guidelines</w:t>
      </w:r>
      <w:r>
        <w:t xml:space="preserve"> and informed by a set</w:t>
      </w:r>
      <w:r w:rsidRPr="000E50CB">
        <w:rPr>
          <w:lang w:val="en-IE"/>
        </w:rPr>
        <w:t xml:space="preserve"> </w:t>
      </w:r>
      <w:r>
        <w:t>of sectoral principles</w:t>
      </w:r>
      <w:r>
        <w:rPr>
          <w:lang w:val="en-IE"/>
        </w:rPr>
        <w:t xml:space="preserve">; see </w:t>
      </w:r>
      <w:hyperlink r:id="rId2" w:history="1">
        <w:r w:rsidRPr="00561110">
          <w:rPr>
            <w:rStyle w:val="Hyperlink"/>
            <w:lang w:val="en-IE"/>
          </w:rPr>
          <w:t>http://www.thea.ie/contentFiles/THEA-COVID-principles.pdf</w:t>
        </w:r>
      </w:hyperlink>
      <w:r>
        <w:rPr>
          <w:lang w:val="en-IE"/>
        </w:rPr>
        <w:t xml:space="preserve">.  </w:t>
      </w:r>
      <w:r w:rsidRPr="006C6A0F">
        <w:t>These set out high level principles that have continued to inform practice at the institutional level to this point. Details of the Principles and Guidelines are contained in the appendix.</w:t>
      </w:r>
    </w:p>
  </w:footnote>
  <w:footnote w:id="3">
    <w:p w14:paraId="709A7F23" w14:textId="295B2292" w:rsidR="00D50929" w:rsidRPr="00D50929" w:rsidRDefault="00D509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sector working cohesively with D/FHE</w:t>
      </w:r>
      <w:r w:rsidR="00427D9B">
        <w:t>R</w:t>
      </w:r>
      <w:r>
        <w:t>IS and its agencies issued a statement on continuity last week</w:t>
      </w:r>
      <w:r>
        <w:rPr>
          <w:lang w:val="en-US"/>
        </w:rPr>
        <w:t xml:space="preserve"> Attached as Appendix </w:t>
      </w:r>
      <w:r w:rsidR="00427D9B">
        <w:rPr>
          <w:lang w:val="en-US"/>
        </w:rPr>
        <w:t>A.</w:t>
      </w:r>
    </w:p>
  </w:footnote>
  <w:footnote w:id="4">
    <w:p w14:paraId="7D68A8F8" w14:textId="4CFE1DB3" w:rsidR="00E85C6B" w:rsidRPr="00E85C6B" w:rsidRDefault="00E85C6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</w:t>
      </w:r>
      <w:r w:rsidR="005A06B0">
        <w:rPr>
          <w:lang w:val="en-US"/>
        </w:rPr>
        <w:t xml:space="preserve">Court elected </w:t>
      </w:r>
      <w:r w:rsidR="005A06B0" w:rsidRPr="000E50CB">
        <w:rPr>
          <w:lang w:val="en-IE"/>
        </w:rPr>
        <w:t>to uphold the ruling in HIA v Chubb</w:t>
      </w:r>
      <w:proofErr w:type="gramStart"/>
      <w:r w:rsidR="00083F72">
        <w:rPr>
          <w:lang w:val="en-IE"/>
        </w:rPr>
        <w:t>..</w:t>
      </w:r>
      <w:proofErr w:type="gramEnd"/>
      <w:r w:rsidR="00083F72" w:rsidRPr="00083F72">
        <w:t xml:space="preserve"> </w:t>
      </w:r>
      <w:r w:rsidR="00083F72" w:rsidRPr="00083F72">
        <w:rPr>
          <w:lang w:val="en-IE"/>
        </w:rPr>
        <w:t xml:space="preserve">High Court Judgement: </w:t>
      </w:r>
      <w:r w:rsidR="003B3944">
        <w:t>Health Insurance Authority</w:t>
      </w:r>
      <w:r w:rsidR="00083F72" w:rsidRPr="00083F72">
        <w:rPr>
          <w:lang w:val="en-IE"/>
        </w:rPr>
        <w:t xml:space="preserve"> v Chubb European Group plc</w:t>
      </w:r>
      <w:r w:rsidR="00083F72">
        <w:rPr>
          <w:lang w:val="en-IE"/>
        </w:rPr>
        <w:t xml:space="preserve"> 22 October 201</w:t>
      </w:r>
      <w:r w:rsidR="003B3944">
        <w:rPr>
          <w:lang w:val="en-IE"/>
        </w:rPr>
        <w:t>8</w:t>
      </w:r>
      <w:r w:rsidR="00083F72">
        <w:rPr>
          <w:lang w:val="en-IE"/>
        </w:rPr>
        <w:t xml:space="preserve">. </w:t>
      </w:r>
    </w:p>
  </w:footnote>
  <w:footnote w:id="5">
    <w:p w14:paraId="347BF281" w14:textId="3583A7D4" w:rsidR="00F33E29" w:rsidRPr="00F33E29" w:rsidRDefault="00F33E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We acknowledge the </w:t>
      </w:r>
      <w:r w:rsidR="009C278A">
        <w:rPr>
          <w:lang w:val="en-US"/>
        </w:rPr>
        <w:t xml:space="preserve">work </w:t>
      </w:r>
      <w:r w:rsidR="009C278A" w:rsidRPr="000E50CB">
        <w:t xml:space="preserve">the USI </w:t>
      </w:r>
      <w:r w:rsidR="009C278A">
        <w:t xml:space="preserve">with whom we have worked closely </w:t>
      </w:r>
      <w:r w:rsidR="009C278A" w:rsidRPr="000E50CB">
        <w:t>to understand this better</w:t>
      </w:r>
      <w:r w:rsidR="00712E05">
        <w:t>.</w:t>
      </w:r>
    </w:p>
  </w:footnote>
  <w:footnote w:id="6">
    <w:p w14:paraId="5C163263" w14:textId="7D0EB2D0" w:rsidR="00491824" w:rsidRPr="00491824" w:rsidRDefault="004918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Joint Committee may note that </w:t>
      </w:r>
      <w:r w:rsidRPr="00491824">
        <w:rPr>
          <w:lang w:val="en-US"/>
        </w:rPr>
        <w:t>given the commitment to have some staff and students on campus in a managed and safe manner, we should be facilitated to provide them with some basic canteen facilities</w:t>
      </w:r>
      <w:r>
        <w:rPr>
          <w:lang w:val="en-US"/>
        </w:rPr>
        <w:t xml:space="preserve"> in a controlled manner</w:t>
      </w:r>
      <w:r w:rsidRPr="00491824">
        <w:rPr>
          <w:lang w:val="en-US"/>
        </w:rPr>
        <w:t xml:space="preserve">.  </w:t>
      </w:r>
    </w:p>
  </w:footnote>
  <w:footnote w:id="7">
    <w:p w14:paraId="4CFAFAA2" w14:textId="2F194A71" w:rsidR="005E568C" w:rsidRPr="005E568C" w:rsidRDefault="005E568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368EB" w:rsidRPr="006368EB">
        <w:t xml:space="preserve">The 2018 Act sets out several challenging </w:t>
      </w:r>
      <w:proofErr w:type="gramStart"/>
      <w:r w:rsidR="006368EB" w:rsidRPr="006368EB">
        <w:t>R&amp;I</w:t>
      </w:r>
      <w:proofErr w:type="gramEnd"/>
      <w:r w:rsidR="006368EB" w:rsidRPr="006368EB">
        <w:t xml:space="preserve"> metrics which institutes must reach before they can become a TU and those that must be achieved post-designation</w:t>
      </w:r>
      <w:r w:rsidR="006368EB">
        <w:t>.</w:t>
      </w:r>
      <w:r w:rsidR="006368EB" w:rsidRPr="006368EB">
        <w:t xml:space="preserve"> </w:t>
      </w:r>
      <w:r w:rsidR="009503B3">
        <w:t xml:space="preserve"> </w:t>
      </w:r>
      <w:r w:rsidR="006368EB" w:rsidRPr="00E70CCE">
        <w:t xml:space="preserve">1) At least 4% of students registered on programmes of study from NFQ Level 8 (typically honours Bachelor’s degree) to Level 10 (doctoral degree) must be research students. This must rise to 7% within 10 years of TU designation. </w:t>
      </w:r>
      <w:r w:rsidR="006C3C45">
        <w:t xml:space="preserve"> </w:t>
      </w:r>
      <w:r w:rsidR="006368EB" w:rsidRPr="00E70CCE">
        <w:t xml:space="preserve">2) The applicant TU must have PhD programmes and staff/students conducting research in no less than three fields of education (ISCED narrow </w:t>
      </w:r>
      <w:proofErr w:type="gramStart"/>
      <w:r w:rsidR="006368EB" w:rsidRPr="00E70CCE">
        <w:t>field )</w:t>
      </w:r>
      <w:proofErr w:type="gramEnd"/>
      <w:r w:rsidR="006368EB" w:rsidRPr="00E70CCE">
        <w:t>. This must increase to five fields within five years of TU designation.</w:t>
      </w:r>
      <w:r w:rsidR="006C3C45">
        <w:t xml:space="preserve"> </w:t>
      </w:r>
      <w:r w:rsidR="006368EB" w:rsidRPr="00E70CCE">
        <w:t xml:space="preserve"> 3) At least 45% of academic staff within the applicant TU must have an L10 (or equivalent) qualification. </w:t>
      </w:r>
      <w:r w:rsidR="006C3C45">
        <w:t xml:space="preserve"> </w:t>
      </w:r>
      <w:r w:rsidR="006368EB" w:rsidRPr="00E70CCE">
        <w:t>This must rise to 65% within 10 years of designation.</w:t>
      </w:r>
    </w:p>
  </w:footnote>
  <w:footnote w:id="8">
    <w:p w14:paraId="0575CD20" w14:textId="234E58C5" w:rsidR="008656FA" w:rsidRPr="008656FA" w:rsidRDefault="008656F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</w:t>
      </w:r>
      <w:r w:rsidRPr="00886871">
        <w:rPr>
          <w:i/>
          <w:iCs/>
        </w:rPr>
        <w:t>Project Ireland 2040</w:t>
      </w:r>
      <w:r>
        <w:t xml:space="preserve"> and the </w:t>
      </w:r>
      <w:r w:rsidRPr="00886871">
        <w:rPr>
          <w:i/>
          <w:iCs/>
        </w:rPr>
        <w:t>National Development Plan</w:t>
      </w:r>
      <w:r w:rsidR="000019ED">
        <w:rPr>
          <w:i/>
          <w:iCs/>
        </w:rPr>
        <w:t xml:space="preserve"> </w:t>
      </w:r>
      <w:r w:rsidR="000019ED">
        <w:rPr>
          <w:i/>
          <w:iCs/>
        </w:rPr>
        <w:t>2018—2027</w:t>
      </w:r>
      <w:proofErr w:type="gramStart"/>
      <w:r w:rsidR="000019ED">
        <w:rPr>
          <w:i/>
          <w:iCs/>
        </w:rPr>
        <w:t>.</w:t>
      </w:r>
      <w:r w:rsidRPr="00886871">
        <w:rPr>
          <w:i/>
          <w:iCs/>
        </w:rPr>
        <w:t>.</w:t>
      </w:r>
      <w:proofErr w:type="gramEnd"/>
      <w:r>
        <w:t xml:space="preserve">  </w:t>
      </w:r>
    </w:p>
  </w:footnote>
  <w:footnote w:id="9">
    <w:p w14:paraId="41E9A7A9" w14:textId="033845AF" w:rsidR="00F556D2" w:rsidRPr="00F556D2" w:rsidRDefault="00F556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F4355">
        <w:rPr>
          <w:lang w:val="en-US"/>
        </w:rPr>
        <w:t xml:space="preserve">The concept of Distributed Excellence is a fruit of the </w:t>
      </w:r>
      <w:r w:rsidR="000F4355" w:rsidRPr="000F4355">
        <w:rPr>
          <w:lang w:val="en-US"/>
        </w:rPr>
        <w:t>German and Polish rectors’ conferences in 2017</w:t>
      </w:r>
      <w:r w:rsidR="001D48BF">
        <w:rPr>
          <w:lang w:val="en-US"/>
        </w:rPr>
        <w:t xml:space="preserve">.  Essentially, </w:t>
      </w:r>
      <w:r w:rsidR="0023102B">
        <w:rPr>
          <w:lang w:val="en-US"/>
        </w:rPr>
        <w:t xml:space="preserve">it argues the advantage of </w:t>
      </w:r>
      <w:r w:rsidR="0023102B" w:rsidRPr="0023102B">
        <w:rPr>
          <w:lang w:val="en-US"/>
        </w:rPr>
        <w:t xml:space="preserve">the wide spread of research quality across </w:t>
      </w:r>
      <w:r w:rsidR="00B10C39">
        <w:rPr>
          <w:lang w:val="en-US"/>
        </w:rPr>
        <w:t xml:space="preserve">a range </w:t>
      </w:r>
      <w:r w:rsidR="0023102B" w:rsidRPr="0023102B">
        <w:rPr>
          <w:lang w:val="en-US"/>
        </w:rPr>
        <w:t>institutions</w:t>
      </w:r>
      <w:r w:rsidR="00B10C39">
        <w:rPr>
          <w:lang w:val="en-US"/>
        </w:rPr>
        <w:t>.</w:t>
      </w:r>
    </w:p>
  </w:footnote>
  <w:footnote w:id="10">
    <w:p w14:paraId="4F693F10" w14:textId="4C592AB6" w:rsidR="00C968BD" w:rsidRPr="00C7252C" w:rsidRDefault="00C968BD" w:rsidP="00C968B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See </w:t>
      </w:r>
      <w:r>
        <w:rPr>
          <w:lang w:val="en-US"/>
        </w:rPr>
        <w:t xml:space="preserve">keynote speech, Minister Simon Harris, </w:t>
      </w:r>
      <w:r w:rsidRPr="00711E83">
        <w:rPr>
          <w:lang w:val="en-US"/>
        </w:rPr>
        <w:t>IUA Future of Ireland Webinar: The pivotal role of universities for future skills and innovation</w:t>
      </w:r>
      <w:r>
        <w:rPr>
          <w:lang w:val="en-US"/>
        </w:rPr>
        <w:t xml:space="preserve">.  </w:t>
      </w:r>
      <w:hyperlink r:id="rId3" w:history="1">
        <w:r w:rsidRPr="00561110">
          <w:rPr>
            <w:rStyle w:val="Hyperlink"/>
            <w:lang w:val="en-US"/>
          </w:rPr>
          <w:t>https://www.gov.ie/en/speech/14a93-keynote-by-simon-harris-td-at-iua-future-of-ireland-seminar-series-webinar/</w:t>
        </w:r>
      </w:hyperlink>
      <w:r>
        <w:rPr>
          <w:lang w:val="en-US"/>
        </w:rPr>
        <w:t xml:space="preserve"> </w:t>
      </w:r>
    </w:p>
    <w:p w14:paraId="6316CB1E" w14:textId="13A51C49" w:rsidR="00C968BD" w:rsidRPr="00C968BD" w:rsidRDefault="00C968BD">
      <w:pPr>
        <w:pStyle w:val="FootnoteText"/>
        <w:rPr>
          <w:lang w:val="en-US"/>
        </w:rPr>
      </w:pPr>
    </w:p>
  </w:footnote>
  <w:footnote w:id="11">
    <w:p w14:paraId="252E4DFC" w14:textId="565C4ED3" w:rsidR="00FA385F" w:rsidRPr="00F300DB" w:rsidRDefault="00FA385F" w:rsidP="00F300D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300DB">
        <w:rPr>
          <w:lang w:val="en-US"/>
        </w:rPr>
        <w:t>The 2019 Report of the Technological Universities Research Network (“TURN Report”)</w:t>
      </w:r>
      <w:r w:rsidR="00A318EF" w:rsidRPr="00F300DB">
        <w:rPr>
          <w:lang w:val="en-US"/>
        </w:rPr>
        <w:t>.  A key instrument in this would see a significant increase in the multi-annual R&amp;I funding in the HEA Recurrent Grant</w:t>
      </w:r>
      <w:r w:rsidR="002A1B58" w:rsidRPr="00F300DB">
        <w:rPr>
          <w:lang w:val="en-US"/>
        </w:rPr>
        <w:t>.</w:t>
      </w:r>
    </w:p>
  </w:footnote>
  <w:footnote w:id="12">
    <w:p w14:paraId="5DA4CA4E" w14:textId="48819CEA" w:rsidR="006B0A61" w:rsidRPr="006B0A61" w:rsidRDefault="006B0A61">
      <w:pPr>
        <w:pStyle w:val="FootnoteText"/>
        <w:rPr>
          <w:lang w:val="en-US"/>
        </w:rPr>
      </w:pPr>
      <w:r w:rsidRPr="00F300DB">
        <w:rPr>
          <w:lang w:val="en-US"/>
        </w:rPr>
        <w:footnoteRef/>
      </w:r>
      <w:r w:rsidRPr="00F300DB">
        <w:rPr>
          <w:lang w:val="en-US"/>
        </w:rPr>
        <w:t xml:space="preserve"> The minister cited an innovation island, an island of talent, and </w:t>
      </w:r>
      <w:proofErr w:type="gramStart"/>
      <w:r w:rsidRPr="00F300DB">
        <w:rPr>
          <w:lang w:val="en-US"/>
        </w:rPr>
        <w:t>international island</w:t>
      </w:r>
      <w:proofErr w:type="gramEnd"/>
      <w:r w:rsidRPr="00F300DB">
        <w:rPr>
          <w:lang w:val="en-US"/>
        </w:rPr>
        <w:t xml:space="preserve">, and an island of inclusion &amp; engagement.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129008"/>
      <w:docPartObj>
        <w:docPartGallery w:val="Watermarks"/>
        <w:docPartUnique/>
      </w:docPartObj>
    </w:sdtPr>
    <w:sdtEndPr/>
    <w:sdtContent>
      <w:p w14:paraId="0C6CAE77" w14:textId="18DBAC95" w:rsidR="00155FC9" w:rsidRDefault="000F19F2">
        <w:pPr>
          <w:pStyle w:val="Header"/>
        </w:pPr>
        <w:r>
          <w:rPr>
            <w:noProof/>
          </w:rPr>
          <w:pict w14:anchorId="4E8E64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36B"/>
    <w:multiLevelType w:val="hybridMultilevel"/>
    <w:tmpl w:val="D82A3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4FB6"/>
    <w:multiLevelType w:val="hybridMultilevel"/>
    <w:tmpl w:val="9B269C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0774"/>
    <w:multiLevelType w:val="hybridMultilevel"/>
    <w:tmpl w:val="1A8CE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F2279"/>
    <w:multiLevelType w:val="hybridMultilevel"/>
    <w:tmpl w:val="45EE0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35AF"/>
    <w:multiLevelType w:val="hybridMultilevel"/>
    <w:tmpl w:val="85D80D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72CE"/>
    <w:multiLevelType w:val="hybridMultilevel"/>
    <w:tmpl w:val="137CCF64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114"/>
    <w:multiLevelType w:val="hybridMultilevel"/>
    <w:tmpl w:val="69D6A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92872"/>
    <w:multiLevelType w:val="hybridMultilevel"/>
    <w:tmpl w:val="98765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6"/>
    <w:rsid w:val="000012A3"/>
    <w:rsid w:val="000019ED"/>
    <w:rsid w:val="00002BCF"/>
    <w:rsid w:val="00003E51"/>
    <w:rsid w:val="000073D1"/>
    <w:rsid w:val="0001091A"/>
    <w:rsid w:val="0001217E"/>
    <w:rsid w:val="000159E6"/>
    <w:rsid w:val="00017B34"/>
    <w:rsid w:val="00020063"/>
    <w:rsid w:val="00023C73"/>
    <w:rsid w:val="00027EDA"/>
    <w:rsid w:val="0003355B"/>
    <w:rsid w:val="00033AA9"/>
    <w:rsid w:val="0004173D"/>
    <w:rsid w:val="00042A4C"/>
    <w:rsid w:val="00043B83"/>
    <w:rsid w:val="000566A0"/>
    <w:rsid w:val="0006249C"/>
    <w:rsid w:val="00062F48"/>
    <w:rsid w:val="00064405"/>
    <w:rsid w:val="00064B15"/>
    <w:rsid w:val="00064FC3"/>
    <w:rsid w:val="0007229A"/>
    <w:rsid w:val="00076985"/>
    <w:rsid w:val="00076A0A"/>
    <w:rsid w:val="00080237"/>
    <w:rsid w:val="0008120C"/>
    <w:rsid w:val="00083F72"/>
    <w:rsid w:val="00084236"/>
    <w:rsid w:val="00084892"/>
    <w:rsid w:val="000849CA"/>
    <w:rsid w:val="00086BF4"/>
    <w:rsid w:val="00092294"/>
    <w:rsid w:val="0009555F"/>
    <w:rsid w:val="000A37E9"/>
    <w:rsid w:val="000A74BD"/>
    <w:rsid w:val="000B11EB"/>
    <w:rsid w:val="000B2739"/>
    <w:rsid w:val="000B3C3A"/>
    <w:rsid w:val="000B3FFB"/>
    <w:rsid w:val="000B4C46"/>
    <w:rsid w:val="000B572C"/>
    <w:rsid w:val="000B6081"/>
    <w:rsid w:val="000B6FC2"/>
    <w:rsid w:val="000B7935"/>
    <w:rsid w:val="000C4C34"/>
    <w:rsid w:val="000C6F66"/>
    <w:rsid w:val="000D4407"/>
    <w:rsid w:val="000D4645"/>
    <w:rsid w:val="000E50CB"/>
    <w:rsid w:val="000E6EC4"/>
    <w:rsid w:val="000F19F2"/>
    <w:rsid w:val="000F4355"/>
    <w:rsid w:val="000F6EFC"/>
    <w:rsid w:val="001021A8"/>
    <w:rsid w:val="00105B46"/>
    <w:rsid w:val="00105F1A"/>
    <w:rsid w:val="00106C8F"/>
    <w:rsid w:val="001209A5"/>
    <w:rsid w:val="001246EC"/>
    <w:rsid w:val="00126F89"/>
    <w:rsid w:val="001301F4"/>
    <w:rsid w:val="00133F6C"/>
    <w:rsid w:val="00133F92"/>
    <w:rsid w:val="00145C10"/>
    <w:rsid w:val="00146883"/>
    <w:rsid w:val="00155B57"/>
    <w:rsid w:val="00155D5C"/>
    <w:rsid w:val="00155FC9"/>
    <w:rsid w:val="001566A1"/>
    <w:rsid w:val="001614C0"/>
    <w:rsid w:val="00161CA0"/>
    <w:rsid w:val="00162251"/>
    <w:rsid w:val="001638BE"/>
    <w:rsid w:val="00172946"/>
    <w:rsid w:val="001760CD"/>
    <w:rsid w:val="00180CD5"/>
    <w:rsid w:val="00183364"/>
    <w:rsid w:val="001853FE"/>
    <w:rsid w:val="00185858"/>
    <w:rsid w:val="00185C40"/>
    <w:rsid w:val="0018701D"/>
    <w:rsid w:val="00191A63"/>
    <w:rsid w:val="00192E92"/>
    <w:rsid w:val="001937BE"/>
    <w:rsid w:val="001939C2"/>
    <w:rsid w:val="001967C6"/>
    <w:rsid w:val="001A0EEC"/>
    <w:rsid w:val="001A5120"/>
    <w:rsid w:val="001A6405"/>
    <w:rsid w:val="001B014D"/>
    <w:rsid w:val="001B0F92"/>
    <w:rsid w:val="001B2499"/>
    <w:rsid w:val="001B4541"/>
    <w:rsid w:val="001B7AF6"/>
    <w:rsid w:val="001C061E"/>
    <w:rsid w:val="001C3D3D"/>
    <w:rsid w:val="001D1DAA"/>
    <w:rsid w:val="001D48BF"/>
    <w:rsid w:val="001D5062"/>
    <w:rsid w:val="001E402B"/>
    <w:rsid w:val="001E53D4"/>
    <w:rsid w:val="001E59A7"/>
    <w:rsid w:val="001E6FFD"/>
    <w:rsid w:val="001F36B3"/>
    <w:rsid w:val="001F3C03"/>
    <w:rsid w:val="001F40B9"/>
    <w:rsid w:val="00202B43"/>
    <w:rsid w:val="002112CE"/>
    <w:rsid w:val="002179D7"/>
    <w:rsid w:val="0023102B"/>
    <w:rsid w:val="0023208B"/>
    <w:rsid w:val="00235BE0"/>
    <w:rsid w:val="00235FAB"/>
    <w:rsid w:val="00237D50"/>
    <w:rsid w:val="002461FE"/>
    <w:rsid w:val="00253B12"/>
    <w:rsid w:val="00260EFF"/>
    <w:rsid w:val="00271EF6"/>
    <w:rsid w:val="00277071"/>
    <w:rsid w:val="002862A3"/>
    <w:rsid w:val="002A1B58"/>
    <w:rsid w:val="002A41D0"/>
    <w:rsid w:val="002A722C"/>
    <w:rsid w:val="002B4C36"/>
    <w:rsid w:val="002E1B65"/>
    <w:rsid w:val="002E2468"/>
    <w:rsid w:val="002E315F"/>
    <w:rsid w:val="002E6EAA"/>
    <w:rsid w:val="002E7CF4"/>
    <w:rsid w:val="00301870"/>
    <w:rsid w:val="00303A03"/>
    <w:rsid w:val="00304ABE"/>
    <w:rsid w:val="003060C1"/>
    <w:rsid w:val="00307780"/>
    <w:rsid w:val="00312E83"/>
    <w:rsid w:val="00315798"/>
    <w:rsid w:val="00320982"/>
    <w:rsid w:val="00320DC6"/>
    <w:rsid w:val="003222AF"/>
    <w:rsid w:val="00322606"/>
    <w:rsid w:val="00323CF2"/>
    <w:rsid w:val="003300CF"/>
    <w:rsid w:val="00330145"/>
    <w:rsid w:val="00330E02"/>
    <w:rsid w:val="00333AC2"/>
    <w:rsid w:val="00334F1C"/>
    <w:rsid w:val="003376CA"/>
    <w:rsid w:val="0034192A"/>
    <w:rsid w:val="00341ABD"/>
    <w:rsid w:val="0034486C"/>
    <w:rsid w:val="00347C3D"/>
    <w:rsid w:val="00350B40"/>
    <w:rsid w:val="003568B4"/>
    <w:rsid w:val="0035739B"/>
    <w:rsid w:val="00360D82"/>
    <w:rsid w:val="003652E7"/>
    <w:rsid w:val="00366D28"/>
    <w:rsid w:val="00375EDD"/>
    <w:rsid w:val="00380A6A"/>
    <w:rsid w:val="00380D07"/>
    <w:rsid w:val="00385C68"/>
    <w:rsid w:val="0039177C"/>
    <w:rsid w:val="00397F5D"/>
    <w:rsid w:val="003A3698"/>
    <w:rsid w:val="003A7945"/>
    <w:rsid w:val="003A7C95"/>
    <w:rsid w:val="003B3944"/>
    <w:rsid w:val="003D390F"/>
    <w:rsid w:val="003D3BE7"/>
    <w:rsid w:val="003D3C8A"/>
    <w:rsid w:val="003D5072"/>
    <w:rsid w:val="003E1614"/>
    <w:rsid w:val="003E3F69"/>
    <w:rsid w:val="003E68E2"/>
    <w:rsid w:val="003F1F05"/>
    <w:rsid w:val="003F5BE1"/>
    <w:rsid w:val="004030E8"/>
    <w:rsid w:val="004070E2"/>
    <w:rsid w:val="004077B1"/>
    <w:rsid w:val="00416356"/>
    <w:rsid w:val="00422EA3"/>
    <w:rsid w:val="00427D9B"/>
    <w:rsid w:val="004307FE"/>
    <w:rsid w:val="00437A30"/>
    <w:rsid w:val="00444230"/>
    <w:rsid w:val="004511AF"/>
    <w:rsid w:val="00453233"/>
    <w:rsid w:val="004541C5"/>
    <w:rsid w:val="0045432F"/>
    <w:rsid w:val="004636D8"/>
    <w:rsid w:val="00465282"/>
    <w:rsid w:val="00466A31"/>
    <w:rsid w:val="00467550"/>
    <w:rsid w:val="00473811"/>
    <w:rsid w:val="00475C8F"/>
    <w:rsid w:val="00484004"/>
    <w:rsid w:val="004844D4"/>
    <w:rsid w:val="004916AE"/>
    <w:rsid w:val="00491824"/>
    <w:rsid w:val="004969EB"/>
    <w:rsid w:val="004A1F43"/>
    <w:rsid w:val="004A7BB0"/>
    <w:rsid w:val="004B3B04"/>
    <w:rsid w:val="004C0D65"/>
    <w:rsid w:val="004C395E"/>
    <w:rsid w:val="004C77A4"/>
    <w:rsid w:val="004C7ABA"/>
    <w:rsid w:val="004D27E2"/>
    <w:rsid w:val="004D311B"/>
    <w:rsid w:val="004D5847"/>
    <w:rsid w:val="004D6B6A"/>
    <w:rsid w:val="004D717E"/>
    <w:rsid w:val="004D7BCB"/>
    <w:rsid w:val="004E1E3D"/>
    <w:rsid w:val="004E2DCF"/>
    <w:rsid w:val="004E5A4F"/>
    <w:rsid w:val="004F1F95"/>
    <w:rsid w:val="004F2A29"/>
    <w:rsid w:val="004F5B7F"/>
    <w:rsid w:val="004F5ED3"/>
    <w:rsid w:val="005030E5"/>
    <w:rsid w:val="005066F2"/>
    <w:rsid w:val="00510370"/>
    <w:rsid w:val="00512155"/>
    <w:rsid w:val="005136DE"/>
    <w:rsid w:val="00515B7B"/>
    <w:rsid w:val="005206BA"/>
    <w:rsid w:val="00527365"/>
    <w:rsid w:val="005302EB"/>
    <w:rsid w:val="00533E74"/>
    <w:rsid w:val="005350F5"/>
    <w:rsid w:val="00536770"/>
    <w:rsid w:val="00537C7D"/>
    <w:rsid w:val="00543F2E"/>
    <w:rsid w:val="0054419D"/>
    <w:rsid w:val="00551D04"/>
    <w:rsid w:val="005523BA"/>
    <w:rsid w:val="00554D7E"/>
    <w:rsid w:val="00555A0F"/>
    <w:rsid w:val="0056055A"/>
    <w:rsid w:val="00560A6D"/>
    <w:rsid w:val="0056122A"/>
    <w:rsid w:val="0056155D"/>
    <w:rsid w:val="00561D52"/>
    <w:rsid w:val="005653AA"/>
    <w:rsid w:val="00566CA1"/>
    <w:rsid w:val="00573D81"/>
    <w:rsid w:val="00574FE7"/>
    <w:rsid w:val="00583234"/>
    <w:rsid w:val="005837EB"/>
    <w:rsid w:val="00583D21"/>
    <w:rsid w:val="00585FCF"/>
    <w:rsid w:val="00591F3E"/>
    <w:rsid w:val="00592E77"/>
    <w:rsid w:val="00592E78"/>
    <w:rsid w:val="005954E8"/>
    <w:rsid w:val="005A06B0"/>
    <w:rsid w:val="005A086A"/>
    <w:rsid w:val="005A2124"/>
    <w:rsid w:val="005B1909"/>
    <w:rsid w:val="005B5767"/>
    <w:rsid w:val="005B63EA"/>
    <w:rsid w:val="005B6E8D"/>
    <w:rsid w:val="005C1B6D"/>
    <w:rsid w:val="005C2EE9"/>
    <w:rsid w:val="005C5563"/>
    <w:rsid w:val="005C6A80"/>
    <w:rsid w:val="005D2428"/>
    <w:rsid w:val="005D6AFF"/>
    <w:rsid w:val="005E06D0"/>
    <w:rsid w:val="005E1BE3"/>
    <w:rsid w:val="005E568C"/>
    <w:rsid w:val="005F1913"/>
    <w:rsid w:val="005F2113"/>
    <w:rsid w:val="00600AA6"/>
    <w:rsid w:val="00602C9F"/>
    <w:rsid w:val="00603B97"/>
    <w:rsid w:val="00605EE3"/>
    <w:rsid w:val="00612D26"/>
    <w:rsid w:val="00613751"/>
    <w:rsid w:val="0062049C"/>
    <w:rsid w:val="00621A57"/>
    <w:rsid w:val="00623799"/>
    <w:rsid w:val="00624D7B"/>
    <w:rsid w:val="0062523F"/>
    <w:rsid w:val="00626CBD"/>
    <w:rsid w:val="00633982"/>
    <w:rsid w:val="0063523B"/>
    <w:rsid w:val="006368EB"/>
    <w:rsid w:val="00640B6C"/>
    <w:rsid w:val="00641664"/>
    <w:rsid w:val="00642B03"/>
    <w:rsid w:val="00646F6F"/>
    <w:rsid w:val="0065378B"/>
    <w:rsid w:val="00667444"/>
    <w:rsid w:val="00681C51"/>
    <w:rsid w:val="006872EF"/>
    <w:rsid w:val="00691C81"/>
    <w:rsid w:val="006927B1"/>
    <w:rsid w:val="00694F99"/>
    <w:rsid w:val="0069693D"/>
    <w:rsid w:val="006A59A4"/>
    <w:rsid w:val="006B0A61"/>
    <w:rsid w:val="006C288C"/>
    <w:rsid w:val="006C3C45"/>
    <w:rsid w:val="006C4786"/>
    <w:rsid w:val="006C6A0F"/>
    <w:rsid w:val="006D06CC"/>
    <w:rsid w:val="006D4255"/>
    <w:rsid w:val="006D62D9"/>
    <w:rsid w:val="006D752B"/>
    <w:rsid w:val="006E36EF"/>
    <w:rsid w:val="006F5747"/>
    <w:rsid w:val="00704B1E"/>
    <w:rsid w:val="00705F70"/>
    <w:rsid w:val="00707298"/>
    <w:rsid w:val="00711E83"/>
    <w:rsid w:val="00712E05"/>
    <w:rsid w:val="007133B0"/>
    <w:rsid w:val="007256B0"/>
    <w:rsid w:val="00735DCE"/>
    <w:rsid w:val="00744465"/>
    <w:rsid w:val="00744AF2"/>
    <w:rsid w:val="0075136C"/>
    <w:rsid w:val="00760966"/>
    <w:rsid w:val="0076125A"/>
    <w:rsid w:val="00764CDD"/>
    <w:rsid w:val="00774845"/>
    <w:rsid w:val="007770EA"/>
    <w:rsid w:val="00780AEA"/>
    <w:rsid w:val="00781C79"/>
    <w:rsid w:val="0078614E"/>
    <w:rsid w:val="0079361B"/>
    <w:rsid w:val="00796D39"/>
    <w:rsid w:val="007A28A0"/>
    <w:rsid w:val="007B069A"/>
    <w:rsid w:val="007C7F94"/>
    <w:rsid w:val="007D324A"/>
    <w:rsid w:val="007D3908"/>
    <w:rsid w:val="007D5C20"/>
    <w:rsid w:val="007E1138"/>
    <w:rsid w:val="007E621A"/>
    <w:rsid w:val="007E7EE7"/>
    <w:rsid w:val="007F39EF"/>
    <w:rsid w:val="00806840"/>
    <w:rsid w:val="00811103"/>
    <w:rsid w:val="0081488F"/>
    <w:rsid w:val="00816307"/>
    <w:rsid w:val="00817AB4"/>
    <w:rsid w:val="00822875"/>
    <w:rsid w:val="008231A2"/>
    <w:rsid w:val="00825CDC"/>
    <w:rsid w:val="0083075C"/>
    <w:rsid w:val="0083276A"/>
    <w:rsid w:val="00834E6B"/>
    <w:rsid w:val="00841443"/>
    <w:rsid w:val="00850E06"/>
    <w:rsid w:val="00853246"/>
    <w:rsid w:val="0085743E"/>
    <w:rsid w:val="008656FA"/>
    <w:rsid w:val="00870D78"/>
    <w:rsid w:val="008725C5"/>
    <w:rsid w:val="00872699"/>
    <w:rsid w:val="00876713"/>
    <w:rsid w:val="0088333D"/>
    <w:rsid w:val="00886128"/>
    <w:rsid w:val="0088652A"/>
    <w:rsid w:val="00886871"/>
    <w:rsid w:val="00894C0C"/>
    <w:rsid w:val="00896A84"/>
    <w:rsid w:val="008972FB"/>
    <w:rsid w:val="008A3F3F"/>
    <w:rsid w:val="008B06C8"/>
    <w:rsid w:val="008B20F7"/>
    <w:rsid w:val="008C0590"/>
    <w:rsid w:val="008C1367"/>
    <w:rsid w:val="008C7CB9"/>
    <w:rsid w:val="008D1A01"/>
    <w:rsid w:val="008D76C5"/>
    <w:rsid w:val="008D7A33"/>
    <w:rsid w:val="008E15A8"/>
    <w:rsid w:val="008E15E9"/>
    <w:rsid w:val="008E2CF7"/>
    <w:rsid w:val="008E7DB3"/>
    <w:rsid w:val="008F0E3C"/>
    <w:rsid w:val="008F2683"/>
    <w:rsid w:val="008F402C"/>
    <w:rsid w:val="008F55D5"/>
    <w:rsid w:val="008F6025"/>
    <w:rsid w:val="008F7099"/>
    <w:rsid w:val="008F7E60"/>
    <w:rsid w:val="009000DE"/>
    <w:rsid w:val="0090276D"/>
    <w:rsid w:val="0090332E"/>
    <w:rsid w:val="0090363B"/>
    <w:rsid w:val="009039B9"/>
    <w:rsid w:val="00905235"/>
    <w:rsid w:val="00923E96"/>
    <w:rsid w:val="009260B2"/>
    <w:rsid w:val="009342F4"/>
    <w:rsid w:val="00936A40"/>
    <w:rsid w:val="00943409"/>
    <w:rsid w:val="009437CB"/>
    <w:rsid w:val="00944432"/>
    <w:rsid w:val="009503B3"/>
    <w:rsid w:val="009503CD"/>
    <w:rsid w:val="00950917"/>
    <w:rsid w:val="00955959"/>
    <w:rsid w:val="00956AF5"/>
    <w:rsid w:val="00960082"/>
    <w:rsid w:val="00965B1C"/>
    <w:rsid w:val="00972E65"/>
    <w:rsid w:val="009735FE"/>
    <w:rsid w:val="00976F07"/>
    <w:rsid w:val="00985EF7"/>
    <w:rsid w:val="009912F9"/>
    <w:rsid w:val="009A6E60"/>
    <w:rsid w:val="009B3906"/>
    <w:rsid w:val="009B3CE0"/>
    <w:rsid w:val="009C278A"/>
    <w:rsid w:val="009C4AD1"/>
    <w:rsid w:val="009C5CBC"/>
    <w:rsid w:val="009C7A9E"/>
    <w:rsid w:val="009C7CA6"/>
    <w:rsid w:val="009D064E"/>
    <w:rsid w:val="009E217C"/>
    <w:rsid w:val="009E51A6"/>
    <w:rsid w:val="009F210A"/>
    <w:rsid w:val="009F3172"/>
    <w:rsid w:val="009F68B6"/>
    <w:rsid w:val="00A01585"/>
    <w:rsid w:val="00A05C49"/>
    <w:rsid w:val="00A0766A"/>
    <w:rsid w:val="00A07C13"/>
    <w:rsid w:val="00A10EDF"/>
    <w:rsid w:val="00A11D8B"/>
    <w:rsid w:val="00A140C3"/>
    <w:rsid w:val="00A162D7"/>
    <w:rsid w:val="00A25E8D"/>
    <w:rsid w:val="00A30D02"/>
    <w:rsid w:val="00A318EF"/>
    <w:rsid w:val="00A32501"/>
    <w:rsid w:val="00A3387B"/>
    <w:rsid w:val="00A40C63"/>
    <w:rsid w:val="00A41D75"/>
    <w:rsid w:val="00A43E1D"/>
    <w:rsid w:val="00A52DD9"/>
    <w:rsid w:val="00A63C63"/>
    <w:rsid w:val="00A64B0C"/>
    <w:rsid w:val="00A656E1"/>
    <w:rsid w:val="00A67B2B"/>
    <w:rsid w:val="00A72597"/>
    <w:rsid w:val="00A81AB1"/>
    <w:rsid w:val="00A87F4A"/>
    <w:rsid w:val="00A900D2"/>
    <w:rsid w:val="00A93C78"/>
    <w:rsid w:val="00A95B74"/>
    <w:rsid w:val="00A97473"/>
    <w:rsid w:val="00AA187F"/>
    <w:rsid w:val="00AA3388"/>
    <w:rsid w:val="00AA5EC9"/>
    <w:rsid w:val="00AB3AE7"/>
    <w:rsid w:val="00AC2FF2"/>
    <w:rsid w:val="00AD1761"/>
    <w:rsid w:val="00AD4690"/>
    <w:rsid w:val="00AE1F19"/>
    <w:rsid w:val="00AE3FE9"/>
    <w:rsid w:val="00AE6952"/>
    <w:rsid w:val="00AE69A6"/>
    <w:rsid w:val="00AF01F1"/>
    <w:rsid w:val="00AF650F"/>
    <w:rsid w:val="00B043FC"/>
    <w:rsid w:val="00B06924"/>
    <w:rsid w:val="00B10C39"/>
    <w:rsid w:val="00B1225A"/>
    <w:rsid w:val="00B12C45"/>
    <w:rsid w:val="00B16469"/>
    <w:rsid w:val="00B16DA4"/>
    <w:rsid w:val="00B17E56"/>
    <w:rsid w:val="00B2101F"/>
    <w:rsid w:val="00B231B6"/>
    <w:rsid w:val="00B234FE"/>
    <w:rsid w:val="00B35E47"/>
    <w:rsid w:val="00B457FA"/>
    <w:rsid w:val="00B51D12"/>
    <w:rsid w:val="00B526D3"/>
    <w:rsid w:val="00B54BAE"/>
    <w:rsid w:val="00B600AC"/>
    <w:rsid w:val="00B607B5"/>
    <w:rsid w:val="00B61D20"/>
    <w:rsid w:val="00B63B0D"/>
    <w:rsid w:val="00B6414F"/>
    <w:rsid w:val="00B67C86"/>
    <w:rsid w:val="00B7469F"/>
    <w:rsid w:val="00B836C4"/>
    <w:rsid w:val="00B878B1"/>
    <w:rsid w:val="00B90A10"/>
    <w:rsid w:val="00B90CEF"/>
    <w:rsid w:val="00B928D7"/>
    <w:rsid w:val="00B93333"/>
    <w:rsid w:val="00BA0A1B"/>
    <w:rsid w:val="00BA22C5"/>
    <w:rsid w:val="00BA578D"/>
    <w:rsid w:val="00BA6578"/>
    <w:rsid w:val="00BB2CA7"/>
    <w:rsid w:val="00BB2F15"/>
    <w:rsid w:val="00BC1586"/>
    <w:rsid w:val="00BC4C59"/>
    <w:rsid w:val="00BC6653"/>
    <w:rsid w:val="00BC7895"/>
    <w:rsid w:val="00BE02D6"/>
    <w:rsid w:val="00BE23D2"/>
    <w:rsid w:val="00BE26EA"/>
    <w:rsid w:val="00C027F3"/>
    <w:rsid w:val="00C050DE"/>
    <w:rsid w:val="00C05DC3"/>
    <w:rsid w:val="00C12FE9"/>
    <w:rsid w:val="00C13D04"/>
    <w:rsid w:val="00C14C67"/>
    <w:rsid w:val="00C21C50"/>
    <w:rsid w:val="00C24E0F"/>
    <w:rsid w:val="00C31DAB"/>
    <w:rsid w:val="00C3542E"/>
    <w:rsid w:val="00C35CD3"/>
    <w:rsid w:val="00C7252C"/>
    <w:rsid w:val="00C73119"/>
    <w:rsid w:val="00C73AE3"/>
    <w:rsid w:val="00C75372"/>
    <w:rsid w:val="00C76E41"/>
    <w:rsid w:val="00C82991"/>
    <w:rsid w:val="00C93494"/>
    <w:rsid w:val="00C968BD"/>
    <w:rsid w:val="00CA004B"/>
    <w:rsid w:val="00CA4A3E"/>
    <w:rsid w:val="00CA5381"/>
    <w:rsid w:val="00CB7432"/>
    <w:rsid w:val="00CC2294"/>
    <w:rsid w:val="00CC4051"/>
    <w:rsid w:val="00CC4E4F"/>
    <w:rsid w:val="00CC7722"/>
    <w:rsid w:val="00CD02DA"/>
    <w:rsid w:val="00CD0F19"/>
    <w:rsid w:val="00CE0776"/>
    <w:rsid w:val="00CE20F1"/>
    <w:rsid w:val="00CE47D5"/>
    <w:rsid w:val="00CE498D"/>
    <w:rsid w:val="00CE609C"/>
    <w:rsid w:val="00CE7541"/>
    <w:rsid w:val="00CF1554"/>
    <w:rsid w:val="00CF317C"/>
    <w:rsid w:val="00CF7211"/>
    <w:rsid w:val="00D00F3F"/>
    <w:rsid w:val="00D01528"/>
    <w:rsid w:val="00D02611"/>
    <w:rsid w:val="00D02DCE"/>
    <w:rsid w:val="00D05029"/>
    <w:rsid w:val="00D056B9"/>
    <w:rsid w:val="00D06343"/>
    <w:rsid w:val="00D114C9"/>
    <w:rsid w:val="00D23982"/>
    <w:rsid w:val="00D24B9D"/>
    <w:rsid w:val="00D25FB6"/>
    <w:rsid w:val="00D30A38"/>
    <w:rsid w:val="00D35084"/>
    <w:rsid w:val="00D36D8D"/>
    <w:rsid w:val="00D43F66"/>
    <w:rsid w:val="00D45B3B"/>
    <w:rsid w:val="00D45F02"/>
    <w:rsid w:val="00D477C2"/>
    <w:rsid w:val="00D503DD"/>
    <w:rsid w:val="00D50929"/>
    <w:rsid w:val="00D51584"/>
    <w:rsid w:val="00D53D6F"/>
    <w:rsid w:val="00D56C05"/>
    <w:rsid w:val="00D57278"/>
    <w:rsid w:val="00D62A0F"/>
    <w:rsid w:val="00D713BF"/>
    <w:rsid w:val="00D71742"/>
    <w:rsid w:val="00D76B05"/>
    <w:rsid w:val="00D82122"/>
    <w:rsid w:val="00D874F2"/>
    <w:rsid w:val="00D92831"/>
    <w:rsid w:val="00D966EE"/>
    <w:rsid w:val="00DA4031"/>
    <w:rsid w:val="00DA7DD1"/>
    <w:rsid w:val="00DB27BE"/>
    <w:rsid w:val="00DB4252"/>
    <w:rsid w:val="00DB43A5"/>
    <w:rsid w:val="00DB4D48"/>
    <w:rsid w:val="00DB7B62"/>
    <w:rsid w:val="00DC0B8A"/>
    <w:rsid w:val="00DD4471"/>
    <w:rsid w:val="00DD710B"/>
    <w:rsid w:val="00DE09F8"/>
    <w:rsid w:val="00DE6721"/>
    <w:rsid w:val="00DF50A4"/>
    <w:rsid w:val="00E06355"/>
    <w:rsid w:val="00E1008E"/>
    <w:rsid w:val="00E11FE6"/>
    <w:rsid w:val="00E16BAF"/>
    <w:rsid w:val="00E37FD3"/>
    <w:rsid w:val="00E45C2F"/>
    <w:rsid w:val="00E5552B"/>
    <w:rsid w:val="00E6236D"/>
    <w:rsid w:val="00E66F55"/>
    <w:rsid w:val="00E73C33"/>
    <w:rsid w:val="00E771EF"/>
    <w:rsid w:val="00E85C6B"/>
    <w:rsid w:val="00E87EA8"/>
    <w:rsid w:val="00E97BEB"/>
    <w:rsid w:val="00EA465A"/>
    <w:rsid w:val="00EA5794"/>
    <w:rsid w:val="00EA769D"/>
    <w:rsid w:val="00EB37A9"/>
    <w:rsid w:val="00EC36F5"/>
    <w:rsid w:val="00EC56E9"/>
    <w:rsid w:val="00EC6589"/>
    <w:rsid w:val="00ED7D12"/>
    <w:rsid w:val="00ED7F40"/>
    <w:rsid w:val="00EE2DB5"/>
    <w:rsid w:val="00EE453D"/>
    <w:rsid w:val="00EE46DE"/>
    <w:rsid w:val="00EE5489"/>
    <w:rsid w:val="00EF026D"/>
    <w:rsid w:val="00EF1C7D"/>
    <w:rsid w:val="00EF5095"/>
    <w:rsid w:val="00EF6E24"/>
    <w:rsid w:val="00F0154A"/>
    <w:rsid w:val="00F022E0"/>
    <w:rsid w:val="00F03973"/>
    <w:rsid w:val="00F07091"/>
    <w:rsid w:val="00F107D0"/>
    <w:rsid w:val="00F10EFE"/>
    <w:rsid w:val="00F1263A"/>
    <w:rsid w:val="00F13613"/>
    <w:rsid w:val="00F2066B"/>
    <w:rsid w:val="00F20C72"/>
    <w:rsid w:val="00F300DB"/>
    <w:rsid w:val="00F305F0"/>
    <w:rsid w:val="00F32464"/>
    <w:rsid w:val="00F33E29"/>
    <w:rsid w:val="00F36056"/>
    <w:rsid w:val="00F36CD2"/>
    <w:rsid w:val="00F41523"/>
    <w:rsid w:val="00F42B51"/>
    <w:rsid w:val="00F556D2"/>
    <w:rsid w:val="00F56E08"/>
    <w:rsid w:val="00F611D9"/>
    <w:rsid w:val="00F61C6B"/>
    <w:rsid w:val="00F63FCD"/>
    <w:rsid w:val="00F70646"/>
    <w:rsid w:val="00F74DFE"/>
    <w:rsid w:val="00F85EC8"/>
    <w:rsid w:val="00F86345"/>
    <w:rsid w:val="00F87CD0"/>
    <w:rsid w:val="00F905C2"/>
    <w:rsid w:val="00F9332F"/>
    <w:rsid w:val="00F9350B"/>
    <w:rsid w:val="00F94688"/>
    <w:rsid w:val="00FA385F"/>
    <w:rsid w:val="00FA4061"/>
    <w:rsid w:val="00FA745D"/>
    <w:rsid w:val="00FB0933"/>
    <w:rsid w:val="00FB2375"/>
    <w:rsid w:val="00FB4540"/>
    <w:rsid w:val="00FB5565"/>
    <w:rsid w:val="00FC3548"/>
    <w:rsid w:val="00FD1D04"/>
    <w:rsid w:val="00FD2CFB"/>
    <w:rsid w:val="00FD3B07"/>
    <w:rsid w:val="00FD3B2E"/>
    <w:rsid w:val="00FE509D"/>
    <w:rsid w:val="00FE65C4"/>
    <w:rsid w:val="00FE792B"/>
    <w:rsid w:val="00FF0D87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B19D20"/>
  <w15:chartTrackingRefBased/>
  <w15:docId w15:val="{3B4BB81F-76CC-431E-B835-946254C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1B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231B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31B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231B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23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31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B6"/>
  </w:style>
  <w:style w:type="paragraph" w:styleId="Footer">
    <w:name w:val="footer"/>
    <w:basedOn w:val="Normal"/>
    <w:link w:val="FooterChar"/>
    <w:uiPriority w:val="99"/>
    <w:unhideWhenUsed/>
    <w:rsid w:val="00B2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1B6"/>
  </w:style>
  <w:style w:type="paragraph" w:styleId="BalloonText">
    <w:name w:val="Balloon Text"/>
    <w:basedOn w:val="Normal"/>
    <w:link w:val="BalloonTextChar"/>
    <w:uiPriority w:val="99"/>
    <w:semiHidden/>
    <w:unhideWhenUsed/>
    <w:rsid w:val="003F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C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C700.225C258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ie/en/speech/14a93-keynote-by-simon-harris-td-at-iua-future-of-ireland-seminar-series-webinar/" TargetMode="External"/><Relationship Id="rId2" Type="http://schemas.openxmlformats.org/officeDocument/2006/relationships/hyperlink" Target="http://www.thea.ie/contentFiles/THEA-COVID-principles.pdf" TargetMode="External"/><Relationship Id="rId1" Type="http://schemas.openxmlformats.org/officeDocument/2006/relationships/hyperlink" Target="https://www.qqi.ie/Downloads/The%20Impact%20of%20COVID-19%20Modifications%20to%20Teaching,%20Learning%20and%20Assessment%20in%20Irish%20Further%20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9F6F-CF02-4F85-B4C8-0752FD54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Joseph Ryan</dc:creator>
  <cp:keywords/>
  <dc:description/>
  <cp:lastModifiedBy>Dr Joseph Ryan</cp:lastModifiedBy>
  <cp:revision>8</cp:revision>
  <dcterms:created xsi:type="dcterms:W3CDTF">2020-11-30T09:15:00Z</dcterms:created>
  <dcterms:modified xsi:type="dcterms:W3CDTF">2020-12-01T11:47:00Z</dcterms:modified>
</cp:coreProperties>
</file>